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84459">
      <w:pPr>
        <w:tabs>
          <w:tab w:val="right" w:pos="8730"/>
        </w:tabs>
        <w:spacing w:line="580" w:lineRule="exact"/>
        <w:outlineLvl w:val="0"/>
        <w:rPr>
          <w:rFonts w:ascii="黑体" w:hAnsi="黑体" w:eastAsia="黑体"/>
          <w:color w:val="000000"/>
          <w:szCs w:val="32"/>
        </w:rPr>
      </w:pPr>
      <w:r>
        <w:rPr>
          <w:rFonts w:hint="eastAsia" w:ascii="黑体" w:hAnsi="黑体" w:eastAsia="黑体"/>
          <w:color w:val="000000"/>
          <w:szCs w:val="32"/>
        </w:rPr>
        <w:t>附件4</w:t>
      </w:r>
    </w:p>
    <w:p w14:paraId="371599E9">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14:paraId="1D9204CF">
        <w:trPr>
          <w:trHeight w:val="753" w:hRule="exact"/>
        </w:trPr>
        <w:tc>
          <w:tcPr>
            <w:tcW w:w="992" w:type="dxa"/>
            <w:tcBorders>
              <w:tl2br w:val="nil"/>
              <w:tr2bl w:val="nil"/>
            </w:tcBorders>
            <w:vAlign w:val="center"/>
          </w:tcPr>
          <w:p w14:paraId="0CC3E43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37B728F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14:paraId="5E975235">
            <w:pPr>
              <w:spacing w:line="240" w:lineRule="exact"/>
              <w:jc w:val="left"/>
              <w:rPr>
                <w:rFonts w:ascii="仿宋" w:hAnsi="仿宋" w:eastAsia="仿宋" w:cs="仿宋"/>
                <w:color w:val="000000"/>
                <w:sz w:val="21"/>
                <w:szCs w:val="15"/>
              </w:rPr>
            </w:pPr>
            <w:r>
              <w:rPr>
                <w:rFonts w:ascii="仿宋" w:hAnsi="仿宋" w:eastAsia="仿宋" w:cs="仿宋"/>
                <w:color w:val="000000"/>
                <w:sz w:val="21"/>
                <w:szCs w:val="15"/>
              </w:rPr>
              <w:t>China to boost green industry cooperation</w:t>
            </w:r>
          </w:p>
          <w:p w14:paraId="5CA33A5B">
            <w:pPr>
              <w:spacing w:line="240" w:lineRule="exact"/>
              <w:jc w:val="left"/>
              <w:rPr>
                <w:rFonts w:ascii="仿宋" w:hAnsi="仿宋" w:eastAsia="仿宋" w:cs="仿宋"/>
                <w:color w:val="000000"/>
                <w:sz w:val="21"/>
                <w:szCs w:val="15"/>
              </w:rPr>
            </w:pPr>
            <w:r>
              <w:rPr>
                <w:rFonts w:hint="eastAsia" w:ascii="仿宋" w:hAnsi="仿宋" w:eastAsia="仿宋" w:cs="仿宋"/>
                <w:color w:val="000000"/>
                <w:sz w:val="21"/>
                <w:szCs w:val="15"/>
              </w:rPr>
              <w:t>（</w:t>
            </w:r>
            <w:r>
              <w:rPr>
                <w:rFonts w:ascii="仿宋" w:hAnsi="仿宋" w:eastAsia="仿宋" w:cs="仿宋"/>
                <w:color w:val="000000"/>
                <w:sz w:val="21"/>
                <w:szCs w:val="15"/>
              </w:rPr>
              <w:t>中国将加大绿色产业合作</w:t>
            </w:r>
            <w:r>
              <w:rPr>
                <w:rFonts w:hint="eastAsia" w:ascii="仿宋" w:hAnsi="仿宋" w:eastAsia="仿宋" w:cs="仿宋"/>
                <w:color w:val="000000"/>
                <w:sz w:val="21"/>
                <w:szCs w:val="15"/>
              </w:rPr>
              <w:t>）</w:t>
            </w:r>
          </w:p>
        </w:tc>
        <w:tc>
          <w:tcPr>
            <w:tcW w:w="1819" w:type="dxa"/>
            <w:gridSpan w:val="2"/>
            <w:tcBorders>
              <w:tl2br w:val="nil"/>
              <w:tr2bl w:val="nil"/>
            </w:tcBorders>
            <w:vAlign w:val="center"/>
          </w:tcPr>
          <w:p w14:paraId="0883CD3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2E2CD92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028205E3">
            <w:pPr>
              <w:spacing w:line="240" w:lineRule="exact"/>
              <w:rPr>
                <w:rFonts w:ascii="仿宋" w:hAnsi="仿宋" w:eastAsia="仿宋" w:cs="仿宋"/>
                <w:color w:val="000000"/>
                <w:sz w:val="21"/>
                <w:szCs w:val="15"/>
              </w:rPr>
            </w:pPr>
            <w:r>
              <w:rPr>
                <w:rFonts w:hint="eastAsia" w:ascii="仿宋" w:hAnsi="仿宋" w:eastAsia="仿宋" w:cs="仿宋"/>
                <w:color w:val="000000"/>
                <w:sz w:val="21"/>
                <w:szCs w:val="15"/>
              </w:rPr>
              <w:t>通讯</w:t>
            </w:r>
          </w:p>
        </w:tc>
      </w:tr>
      <w:tr w14:paraId="1A90D336">
        <w:trPr>
          <w:trHeight w:val="515" w:hRule="exact"/>
        </w:trPr>
        <w:tc>
          <w:tcPr>
            <w:tcW w:w="992" w:type="dxa"/>
            <w:vMerge w:val="restart"/>
            <w:tcBorders>
              <w:tl2br w:val="nil"/>
              <w:tr2bl w:val="nil"/>
            </w:tcBorders>
            <w:vAlign w:val="center"/>
          </w:tcPr>
          <w:p w14:paraId="41523A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1798A215">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14:paraId="2265342A">
            <w:pPr>
              <w:spacing w:line="240" w:lineRule="exact"/>
              <w:jc w:val="left"/>
              <w:rPr>
                <w:rFonts w:ascii="仿宋" w:hAnsi="仿宋" w:eastAsia="仿宋" w:cs="仿宋"/>
                <w:color w:val="000000"/>
                <w:sz w:val="21"/>
                <w:szCs w:val="15"/>
              </w:rPr>
            </w:pPr>
            <w:r>
              <w:rPr>
                <w:rFonts w:hint="eastAsia" w:ascii="仿宋" w:hAnsi="仿宋" w:eastAsia="仿宋" w:cs="仿宋"/>
                <w:color w:val="000000"/>
                <w:sz w:val="21"/>
                <w:szCs w:val="15"/>
              </w:rPr>
              <w:t>702英文单词</w:t>
            </w:r>
          </w:p>
        </w:tc>
        <w:tc>
          <w:tcPr>
            <w:tcW w:w="1819" w:type="dxa"/>
            <w:gridSpan w:val="2"/>
            <w:tcBorders>
              <w:tl2br w:val="nil"/>
              <w:tr2bl w:val="nil"/>
            </w:tcBorders>
            <w:vAlign w:val="center"/>
          </w:tcPr>
          <w:p w14:paraId="1A20569E">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1AABB1FC">
            <w:pPr>
              <w:spacing w:line="240" w:lineRule="exact"/>
              <w:rPr>
                <w:rFonts w:ascii="仿宋" w:hAnsi="仿宋" w:eastAsia="仿宋" w:cs="仿宋"/>
                <w:color w:val="000000"/>
                <w:sz w:val="21"/>
                <w:szCs w:val="15"/>
              </w:rPr>
            </w:pPr>
            <w:r>
              <w:rPr>
                <w:rFonts w:hint="eastAsia" w:ascii="仿宋" w:hAnsi="仿宋" w:eastAsia="仿宋" w:cs="仿宋"/>
                <w:color w:val="000000"/>
                <w:sz w:val="21"/>
                <w:szCs w:val="15"/>
                <w:lang w:val="en-US" w:eastAsia="zh-CN"/>
              </w:rPr>
              <w:t>报纸</w:t>
            </w:r>
            <w:r>
              <w:rPr>
                <w:rFonts w:hint="eastAsia" w:ascii="仿宋" w:hAnsi="仿宋" w:eastAsia="仿宋" w:cs="仿宋"/>
                <w:color w:val="000000"/>
                <w:sz w:val="21"/>
                <w:szCs w:val="15"/>
              </w:rPr>
              <w:t>通讯</w:t>
            </w:r>
          </w:p>
        </w:tc>
      </w:tr>
      <w:tr w14:paraId="6F646737">
        <w:trPr>
          <w:trHeight w:val="521" w:hRule="atLeast"/>
        </w:trPr>
        <w:tc>
          <w:tcPr>
            <w:tcW w:w="992" w:type="dxa"/>
            <w:vMerge w:val="continue"/>
            <w:tcBorders>
              <w:tl2br w:val="nil"/>
              <w:tr2bl w:val="nil"/>
            </w:tcBorders>
            <w:vAlign w:val="center"/>
          </w:tcPr>
          <w:p w14:paraId="60F36097">
            <w:pPr>
              <w:spacing w:line="320" w:lineRule="exact"/>
              <w:jc w:val="center"/>
              <w:rPr>
                <w:rFonts w:ascii="华文中宋" w:hAnsi="华文中宋" w:eastAsia="华文中宋"/>
                <w:color w:val="000000"/>
                <w:sz w:val="28"/>
              </w:rPr>
            </w:pPr>
          </w:p>
        </w:tc>
        <w:tc>
          <w:tcPr>
            <w:tcW w:w="3728" w:type="dxa"/>
            <w:gridSpan w:val="9"/>
            <w:vMerge w:val="continue"/>
            <w:tcBorders>
              <w:tl2br w:val="nil"/>
              <w:tr2bl w:val="nil"/>
            </w:tcBorders>
            <w:vAlign w:val="center"/>
          </w:tcPr>
          <w:p w14:paraId="23DC0755">
            <w:pPr>
              <w:spacing w:line="380" w:lineRule="exact"/>
              <w:ind w:firstLine="560"/>
              <w:jc w:val="center"/>
              <w:rPr>
                <w:rFonts w:ascii="华文中宋" w:hAnsi="华文中宋" w:eastAsia="华文中宋"/>
                <w:color w:val="000000"/>
                <w:sz w:val="21"/>
                <w:szCs w:val="21"/>
              </w:rPr>
            </w:pPr>
          </w:p>
        </w:tc>
        <w:tc>
          <w:tcPr>
            <w:tcW w:w="1819" w:type="dxa"/>
            <w:gridSpan w:val="2"/>
            <w:tcBorders>
              <w:tl2br w:val="nil"/>
              <w:tr2bl w:val="nil"/>
            </w:tcBorders>
            <w:vAlign w:val="center"/>
          </w:tcPr>
          <w:p w14:paraId="227FA3B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19BAE232">
            <w:pPr>
              <w:spacing w:line="240" w:lineRule="exact"/>
              <w:rPr>
                <w:rFonts w:ascii="仿宋" w:hAnsi="仿宋" w:eastAsia="仿宋" w:cs="仿宋"/>
                <w:color w:val="000000"/>
                <w:sz w:val="21"/>
                <w:szCs w:val="15"/>
              </w:rPr>
            </w:pPr>
            <w:r>
              <w:rPr>
                <w:rFonts w:hint="eastAsia" w:ascii="仿宋" w:hAnsi="仿宋" w:eastAsia="仿宋" w:cs="仿宋"/>
                <w:color w:val="000000"/>
                <w:sz w:val="21"/>
                <w:szCs w:val="15"/>
              </w:rPr>
              <w:t>英文</w:t>
            </w:r>
          </w:p>
        </w:tc>
      </w:tr>
      <w:tr w14:paraId="17775A72">
        <w:trPr>
          <w:trHeight w:val="538" w:hRule="atLeast"/>
        </w:trPr>
        <w:tc>
          <w:tcPr>
            <w:tcW w:w="992" w:type="dxa"/>
            <w:tcBorders>
              <w:tl2br w:val="nil"/>
              <w:tr2bl w:val="nil"/>
            </w:tcBorders>
            <w:vAlign w:val="center"/>
          </w:tcPr>
          <w:p w14:paraId="6B682276">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442B860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14:paraId="49ADD12C">
            <w:pPr>
              <w:spacing w:line="240" w:lineRule="exact"/>
              <w:rPr>
                <w:rFonts w:hint="eastAsia" w:ascii="仿宋" w:hAnsi="仿宋" w:eastAsia="仿宋" w:cs="仿宋"/>
                <w:color w:val="auto"/>
                <w:sz w:val="21"/>
                <w:szCs w:val="15"/>
                <w:lang w:eastAsia="zh-CN"/>
              </w:rPr>
            </w:pPr>
            <w:r>
              <w:rPr>
                <w:rFonts w:hint="eastAsia" w:ascii="仿宋" w:hAnsi="仿宋" w:eastAsia="仿宋" w:cs="仿宋"/>
                <w:color w:val="auto"/>
                <w:sz w:val="21"/>
                <w:szCs w:val="15"/>
                <w:lang w:val="en-US" w:eastAsia="zh-CN"/>
              </w:rPr>
              <w:t>集体（刘伟玲</w:t>
            </w:r>
            <w:r>
              <w:rPr>
                <w:rFonts w:hint="eastAsia" w:ascii="仿宋" w:hAnsi="仿宋" w:eastAsia="仿宋" w:cs="仿宋"/>
                <w:color w:val="auto"/>
                <w:sz w:val="21"/>
                <w:szCs w:val="15"/>
              </w:rPr>
              <w:t>、</w:t>
            </w:r>
            <w:r>
              <w:rPr>
                <w:rFonts w:hint="eastAsia" w:ascii="仿宋" w:hAnsi="仿宋" w:eastAsia="仿宋" w:cs="仿宋"/>
                <w:color w:val="auto"/>
                <w:sz w:val="21"/>
                <w:szCs w:val="15"/>
                <w:lang w:val="en-US" w:eastAsia="zh-CN"/>
              </w:rPr>
              <w:t>王钰、</w:t>
            </w:r>
            <w:r>
              <w:rPr>
                <w:rFonts w:hint="eastAsia" w:ascii="仿宋" w:hAnsi="仿宋" w:eastAsia="仿宋" w:cs="仿宋"/>
                <w:color w:val="auto"/>
                <w:sz w:val="21"/>
                <w:szCs w:val="15"/>
              </w:rPr>
              <w:t>马思</w:t>
            </w:r>
            <w:r>
              <w:rPr>
                <w:rFonts w:hint="eastAsia" w:ascii="仿宋" w:hAnsi="仿宋" w:eastAsia="仿宋" w:cs="仿宋"/>
                <w:color w:val="auto"/>
                <w:sz w:val="21"/>
                <w:szCs w:val="15"/>
                <w:lang w:eastAsia="zh-CN"/>
              </w:rPr>
              <w:t>、</w:t>
            </w:r>
            <w:r>
              <w:rPr>
                <w:rFonts w:hint="eastAsia" w:ascii="仿宋" w:hAnsi="仿宋" w:eastAsia="仿宋" w:cs="仿宋"/>
                <w:color w:val="auto"/>
                <w:sz w:val="21"/>
                <w:szCs w:val="15"/>
              </w:rPr>
              <w:t>庄乾阁</w:t>
            </w:r>
            <w:r>
              <w:rPr>
                <w:rFonts w:hint="eastAsia" w:ascii="仿宋" w:hAnsi="仿宋" w:eastAsia="仿宋" w:cs="仿宋"/>
                <w:color w:val="auto"/>
                <w:sz w:val="21"/>
                <w:szCs w:val="15"/>
                <w:lang w:eastAsia="zh-CN"/>
              </w:rPr>
              <w:t>）</w:t>
            </w:r>
          </w:p>
          <w:p w14:paraId="2AAF2D54">
            <w:pPr>
              <w:spacing w:line="240" w:lineRule="exact"/>
              <w:jc w:val="left"/>
              <w:rPr>
                <w:rFonts w:hint="default" w:ascii="华文中宋" w:hAnsi="华文中宋" w:eastAsia="仿宋"/>
                <w:color w:val="auto"/>
                <w:sz w:val="21"/>
                <w:szCs w:val="21"/>
                <w:lang w:val="en-US" w:eastAsia="zh-CN"/>
              </w:rPr>
            </w:pPr>
          </w:p>
        </w:tc>
        <w:tc>
          <w:tcPr>
            <w:tcW w:w="1819" w:type="dxa"/>
            <w:gridSpan w:val="2"/>
            <w:tcBorders>
              <w:tl2br w:val="nil"/>
              <w:tr2bl w:val="nil"/>
            </w:tcBorders>
            <w:vAlign w:val="center"/>
          </w:tcPr>
          <w:p w14:paraId="4A850334">
            <w:pPr>
              <w:spacing w:line="380" w:lineRule="exact"/>
              <w:jc w:val="center"/>
              <w:rPr>
                <w:rFonts w:ascii="华文中宋" w:hAnsi="华文中宋" w:eastAsia="华文中宋"/>
                <w:color w:val="auto"/>
                <w:sz w:val="28"/>
              </w:rPr>
            </w:pPr>
            <w:r>
              <w:rPr>
                <w:rFonts w:hint="eastAsia" w:ascii="华文中宋" w:hAnsi="华文中宋" w:eastAsia="华文中宋"/>
                <w:color w:val="auto"/>
                <w:sz w:val="28"/>
              </w:rPr>
              <w:t>编辑</w:t>
            </w:r>
          </w:p>
        </w:tc>
        <w:tc>
          <w:tcPr>
            <w:tcW w:w="3274" w:type="dxa"/>
            <w:gridSpan w:val="5"/>
            <w:tcBorders>
              <w:tl2br w:val="nil"/>
              <w:tr2bl w:val="nil"/>
            </w:tcBorders>
            <w:vAlign w:val="center"/>
          </w:tcPr>
          <w:p w14:paraId="6E60E8C2">
            <w:pPr>
              <w:spacing w:line="240" w:lineRule="exact"/>
              <w:rPr>
                <w:rFonts w:hint="eastAsia" w:ascii="仿宋" w:hAnsi="仿宋" w:eastAsia="仿宋" w:cs="仿宋"/>
                <w:color w:val="auto"/>
                <w:sz w:val="21"/>
                <w:szCs w:val="15"/>
              </w:rPr>
            </w:pPr>
          </w:p>
          <w:p w14:paraId="4D80D280">
            <w:pPr>
              <w:spacing w:line="240" w:lineRule="exact"/>
              <w:rPr>
                <w:rFonts w:hint="default" w:ascii="仿宋" w:hAnsi="仿宋" w:eastAsia="仿宋" w:cs="仿宋"/>
                <w:color w:val="auto"/>
                <w:sz w:val="21"/>
                <w:szCs w:val="15"/>
                <w:lang w:val="en-US" w:eastAsia="zh-CN"/>
              </w:rPr>
            </w:pPr>
            <w:r>
              <w:rPr>
                <w:rFonts w:hint="eastAsia" w:ascii="仿宋" w:hAnsi="仿宋" w:eastAsia="仿宋" w:cs="仿宋"/>
                <w:color w:val="auto"/>
                <w:sz w:val="21"/>
                <w:szCs w:val="15"/>
              </w:rPr>
              <w:t>雷小峋</w:t>
            </w:r>
            <w:r>
              <w:rPr>
                <w:rFonts w:hint="eastAsia" w:ascii="仿宋" w:hAnsi="仿宋" w:eastAsia="仿宋" w:cs="仿宋"/>
                <w:color w:val="auto"/>
                <w:sz w:val="21"/>
                <w:szCs w:val="15"/>
                <w:lang w:eastAsia="zh-CN"/>
              </w:rPr>
              <w:t>、</w:t>
            </w:r>
            <w:r>
              <w:rPr>
                <w:rFonts w:hint="eastAsia" w:ascii="仿宋" w:hAnsi="仿宋" w:eastAsia="仿宋" w:cs="仿宋"/>
                <w:color w:val="auto"/>
                <w:sz w:val="21"/>
                <w:szCs w:val="15"/>
                <w:lang w:val="en-US" w:eastAsia="zh-CN"/>
              </w:rPr>
              <w:t>刘巍枫</w:t>
            </w:r>
          </w:p>
          <w:p w14:paraId="66511B91">
            <w:pPr>
              <w:spacing w:line="240" w:lineRule="exact"/>
              <w:rPr>
                <w:rFonts w:hint="eastAsia" w:ascii="仿宋" w:hAnsi="仿宋" w:eastAsia="仿宋" w:cs="仿宋"/>
                <w:color w:val="auto"/>
                <w:sz w:val="21"/>
                <w:szCs w:val="15"/>
              </w:rPr>
            </w:pPr>
          </w:p>
        </w:tc>
      </w:tr>
      <w:tr w14:paraId="74E4B16B">
        <w:trPr>
          <w:trHeight w:val="632" w:hRule="atLeast"/>
        </w:trPr>
        <w:tc>
          <w:tcPr>
            <w:tcW w:w="992" w:type="dxa"/>
            <w:tcBorders>
              <w:tl2br w:val="nil"/>
              <w:tr2bl w:val="nil"/>
            </w:tcBorders>
            <w:vAlign w:val="center"/>
          </w:tcPr>
          <w:p w14:paraId="1F5A44D4">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2ADED37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14:paraId="2356B8DD">
            <w:pPr>
              <w:spacing w:line="240" w:lineRule="exact"/>
              <w:rPr>
                <w:rFonts w:ascii="方正仿宋_GB2312" w:hAnsi="仿宋"/>
                <w:color w:val="000000"/>
                <w:szCs w:val="21"/>
              </w:rPr>
            </w:pPr>
            <w:r>
              <w:rPr>
                <w:rFonts w:hint="eastAsia" w:ascii="仿宋" w:hAnsi="仿宋" w:eastAsia="仿宋" w:cs="仿宋"/>
                <w:color w:val="000000"/>
                <w:sz w:val="21"/>
                <w:szCs w:val="15"/>
              </w:rPr>
              <w:t>中国日报社</w:t>
            </w:r>
          </w:p>
        </w:tc>
        <w:tc>
          <w:tcPr>
            <w:tcW w:w="1819" w:type="dxa"/>
            <w:gridSpan w:val="2"/>
            <w:tcBorders>
              <w:tl2br w:val="nil"/>
              <w:tr2bl w:val="nil"/>
            </w:tcBorders>
            <w:vAlign w:val="center"/>
          </w:tcPr>
          <w:p w14:paraId="233C51CD">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0C8E71E4">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3950CA3">
            <w:pPr>
              <w:spacing w:line="240" w:lineRule="exact"/>
              <w:rPr>
                <w:rFonts w:hint="eastAsia" w:ascii="仿宋" w:hAnsi="仿宋" w:eastAsia="仿宋" w:cs="仿宋"/>
                <w:color w:val="000000"/>
                <w:sz w:val="21"/>
                <w:szCs w:val="15"/>
              </w:rPr>
            </w:pPr>
            <w:r>
              <w:rPr>
                <w:rFonts w:hint="eastAsia" w:ascii="仿宋" w:hAnsi="仿宋" w:eastAsia="仿宋" w:cs="仿宋"/>
                <w:color w:val="000000"/>
                <w:sz w:val="21"/>
                <w:szCs w:val="15"/>
                <w:highlight w:val="none"/>
              </w:rPr>
              <w:t>中国日报中国版</w:t>
            </w:r>
          </w:p>
        </w:tc>
      </w:tr>
      <w:tr w14:paraId="78E0EF3C">
        <w:trPr>
          <w:trHeight w:val="1595" w:hRule="exact"/>
        </w:trPr>
        <w:tc>
          <w:tcPr>
            <w:tcW w:w="1504" w:type="dxa"/>
            <w:gridSpan w:val="3"/>
            <w:tcBorders>
              <w:tl2br w:val="nil"/>
              <w:tr2bl w:val="nil"/>
            </w:tcBorders>
            <w:vAlign w:val="center"/>
          </w:tcPr>
          <w:p w14:paraId="5E5455C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7DE5DDD">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7"/>
            <w:tcBorders>
              <w:tl2br w:val="nil"/>
              <w:tr2bl w:val="nil"/>
            </w:tcBorders>
            <w:vAlign w:val="center"/>
          </w:tcPr>
          <w:p w14:paraId="5A566531">
            <w:pPr>
              <w:spacing w:line="260" w:lineRule="exact"/>
              <w:rPr>
                <w:rFonts w:ascii="方正仿宋_GB2312" w:hAnsi="仿宋"/>
                <w:color w:val="000000"/>
                <w:szCs w:val="21"/>
              </w:rPr>
            </w:pPr>
            <w:r>
              <w:rPr>
                <w:rFonts w:hint="eastAsia" w:ascii="仿宋" w:hAnsi="仿宋" w:eastAsia="仿宋" w:cs="仿宋"/>
                <w:color w:val="000000"/>
                <w:sz w:val="21"/>
                <w:szCs w:val="15"/>
              </w:rPr>
              <w:t>头版转3版</w:t>
            </w:r>
          </w:p>
        </w:tc>
        <w:tc>
          <w:tcPr>
            <w:tcW w:w="872" w:type="dxa"/>
            <w:tcBorders>
              <w:tl2br w:val="nil"/>
              <w:tr2bl w:val="nil"/>
            </w:tcBorders>
            <w:vAlign w:val="center"/>
          </w:tcPr>
          <w:p w14:paraId="68DAACFF">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6"/>
            <w:tcBorders>
              <w:tl2br w:val="nil"/>
              <w:tr2bl w:val="nil"/>
            </w:tcBorders>
            <w:vAlign w:val="center"/>
          </w:tcPr>
          <w:p w14:paraId="57F5C2A5">
            <w:pPr>
              <w:spacing w:line="240" w:lineRule="exact"/>
              <w:rPr>
                <w:rFonts w:ascii="方正仿宋_GB2312" w:hAnsi="仿宋"/>
                <w:color w:val="000000"/>
                <w:szCs w:val="21"/>
              </w:rPr>
            </w:pPr>
            <w:r>
              <w:rPr>
                <w:rFonts w:hint="eastAsia" w:ascii="仿宋" w:hAnsi="仿宋" w:eastAsia="仿宋" w:cs="仿宋"/>
                <w:color w:val="000000"/>
                <w:sz w:val="21"/>
                <w:szCs w:val="15"/>
              </w:rPr>
              <w:t>2025年12月1日</w:t>
            </w:r>
          </w:p>
        </w:tc>
      </w:tr>
      <w:tr w14:paraId="289286B3">
        <w:trPr>
          <w:trHeight w:val="758" w:hRule="atLeast"/>
        </w:trPr>
        <w:tc>
          <w:tcPr>
            <w:tcW w:w="1504" w:type="dxa"/>
            <w:gridSpan w:val="3"/>
            <w:tcBorders>
              <w:tl2br w:val="nil"/>
              <w:tr2bl w:val="nil"/>
            </w:tcBorders>
            <w:vAlign w:val="center"/>
          </w:tcPr>
          <w:p w14:paraId="21528F2E">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48BC4575">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9"/>
            <w:tcBorders>
              <w:tl2br w:val="nil"/>
              <w:tr2bl w:val="nil"/>
            </w:tcBorders>
            <w:vAlign w:val="center"/>
          </w:tcPr>
          <w:p w14:paraId="343D72D1">
            <w:pPr>
              <w:spacing w:line="260" w:lineRule="exact"/>
              <w:rPr>
                <w:rFonts w:hint="eastAsia" w:ascii="华文中宋" w:hAnsi="华文中宋" w:eastAsia="华文中宋"/>
                <w:color w:val="000000"/>
                <w:sz w:val="28"/>
              </w:rPr>
            </w:pPr>
            <w:r>
              <w:rPr>
                <w:rFonts w:hint="eastAsia" w:ascii="仿宋" w:hAnsi="仿宋" w:eastAsia="仿宋" w:cs="仿宋"/>
                <w:color w:val="000000"/>
                <w:sz w:val="21"/>
                <w:szCs w:val="15"/>
              </w:rPr>
              <w:t>https://enapp.chinadaily.com.cn/a/202512/01/AP692c70f6a310d93d63cbbd89.html</w:t>
            </w:r>
          </w:p>
        </w:tc>
        <w:tc>
          <w:tcPr>
            <w:tcW w:w="1742" w:type="dxa"/>
            <w:gridSpan w:val="4"/>
            <w:tcBorders>
              <w:tl2br w:val="nil"/>
              <w:tr2bl w:val="nil"/>
            </w:tcBorders>
            <w:vAlign w:val="center"/>
          </w:tcPr>
          <w:p w14:paraId="2BED7F18">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6FD5DAF7">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CB3AC32">
            <w:pPr>
              <w:spacing w:line="260" w:lineRule="exact"/>
              <w:rPr>
                <w:rFonts w:ascii="华文中宋" w:hAnsi="华文中宋" w:eastAsia="华文中宋"/>
                <w:color w:val="000000"/>
                <w:sz w:val="28"/>
              </w:rPr>
            </w:pPr>
            <w:r>
              <w:rPr>
                <w:rFonts w:hint="eastAsia" w:ascii="华文中宋" w:hAnsi="华文中宋" w:eastAsia="华文中宋"/>
                <w:color w:val="000000"/>
                <w:sz w:val="28"/>
              </w:rPr>
              <w:t>否</w:t>
            </w:r>
          </w:p>
        </w:tc>
      </w:tr>
      <w:tr w14:paraId="660FA68C">
        <w:trPr>
          <w:trHeight w:val="2150" w:hRule="atLeast"/>
        </w:trPr>
        <w:tc>
          <w:tcPr>
            <w:tcW w:w="992" w:type="dxa"/>
            <w:tcBorders>
              <w:tl2br w:val="nil"/>
              <w:tr2bl w:val="nil"/>
            </w:tcBorders>
            <w:vAlign w:val="center"/>
          </w:tcPr>
          <w:p w14:paraId="720655D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7B9F1E1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4D7582A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425A38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21" w:type="dxa"/>
            <w:gridSpan w:val="16"/>
            <w:tcBorders>
              <w:tl2br w:val="nil"/>
              <w:tr2bl w:val="nil"/>
            </w:tcBorders>
            <w:vAlign w:val="center"/>
          </w:tcPr>
          <w:p w14:paraId="0C27A0AD">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在全球气候治理遭遇严峻挑战的背景下，作品紧扣习近平生态文明思想，聚焦国际社会高度关注的中国制造业绿色转型这一议题，</w:t>
            </w:r>
            <w:r>
              <w:rPr>
                <w:rFonts w:hint="eastAsia" w:ascii="仿宋" w:hAnsi="仿宋" w:eastAsia="仿宋"/>
                <w:color w:val="auto"/>
                <w:w w:val="95"/>
                <w:sz w:val="21"/>
                <w:szCs w:val="21"/>
              </w:rPr>
              <w:t>以头版深度报道融合视频的</w:t>
            </w:r>
            <w:r>
              <w:rPr>
                <w:rFonts w:hint="eastAsia" w:ascii="仿宋" w:hAnsi="仿宋" w:eastAsia="仿宋"/>
                <w:color w:val="auto"/>
                <w:w w:val="95"/>
                <w:sz w:val="21"/>
                <w:szCs w:val="21"/>
                <w:lang w:val="en-US" w:eastAsia="zh-CN"/>
              </w:rPr>
              <w:t>全媒体</w:t>
            </w:r>
            <w:r>
              <w:rPr>
                <w:rFonts w:hint="eastAsia" w:ascii="仿宋" w:hAnsi="仿宋" w:eastAsia="仿宋"/>
                <w:color w:val="auto"/>
                <w:w w:val="95"/>
                <w:sz w:val="21"/>
                <w:szCs w:val="21"/>
              </w:rPr>
              <w:t>形态，</w:t>
            </w:r>
            <w:r>
              <w:rPr>
                <w:rFonts w:hint="eastAsia" w:ascii="仿宋" w:hAnsi="仿宋" w:eastAsia="仿宋"/>
                <w:color w:val="000000"/>
                <w:w w:val="95"/>
                <w:sz w:val="21"/>
                <w:szCs w:val="21"/>
              </w:rPr>
              <w:t>通过权威观点</w:t>
            </w:r>
            <w:r>
              <w:rPr>
                <w:rFonts w:hint="eastAsia" w:ascii="仿宋" w:hAnsi="仿宋" w:eastAsia="仿宋"/>
                <w:color w:val="000000"/>
                <w:w w:val="95"/>
                <w:sz w:val="21"/>
                <w:szCs w:val="21"/>
                <w:lang w:val="en-US" w:eastAsia="zh-CN"/>
              </w:rPr>
              <w:t>和重磅</w:t>
            </w:r>
            <w:r>
              <w:rPr>
                <w:rFonts w:hint="eastAsia" w:ascii="仿宋" w:hAnsi="仿宋" w:eastAsia="仿宋"/>
                <w:color w:val="000000"/>
                <w:w w:val="95"/>
                <w:sz w:val="21"/>
                <w:szCs w:val="21"/>
              </w:rPr>
              <w:t>采访，有力回应国际关切，展现中国绿色发展的担当与实践成效。</w:t>
            </w:r>
          </w:p>
          <w:p w14:paraId="3A8147EE">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作品独家专访工业和信息化部部长李乐成，系统阐释习近平生态文明思想引领中国制造业绿色转型的理论逻辑和实践路径</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lang w:val="en-US" w:eastAsia="zh-CN"/>
              </w:rPr>
              <w:t>作品将</w:t>
            </w:r>
            <w:r>
              <w:rPr>
                <w:rFonts w:hint="eastAsia" w:ascii="仿宋" w:hAnsi="仿宋" w:eastAsia="仿宋"/>
                <w:color w:val="000000"/>
                <w:w w:val="95"/>
                <w:sz w:val="21"/>
                <w:szCs w:val="21"/>
              </w:rPr>
              <w:t>政策解读与产业实践</w:t>
            </w:r>
            <w:r>
              <w:rPr>
                <w:rFonts w:hint="eastAsia" w:ascii="仿宋" w:hAnsi="仿宋" w:eastAsia="仿宋"/>
                <w:color w:val="000000"/>
                <w:w w:val="95"/>
                <w:sz w:val="21"/>
                <w:szCs w:val="21"/>
                <w:lang w:val="en-US" w:eastAsia="zh-CN"/>
              </w:rPr>
              <w:t>结合，</w:t>
            </w:r>
            <w:r>
              <w:rPr>
                <w:rFonts w:hint="eastAsia" w:ascii="仿宋" w:hAnsi="仿宋" w:eastAsia="仿宋"/>
                <w:color w:val="000000"/>
                <w:w w:val="95"/>
                <w:sz w:val="21"/>
                <w:szCs w:val="21"/>
              </w:rPr>
              <w:t>呈现中国在新能源汽车、风电、光伏等领域构筑的全球最大绿色产业链，分析中国绿色制造对全球能源转型的现实</w:t>
            </w:r>
            <w:r>
              <w:rPr>
                <w:rFonts w:hint="eastAsia" w:ascii="仿宋" w:hAnsi="仿宋" w:eastAsia="仿宋"/>
                <w:color w:val="000000"/>
                <w:w w:val="95"/>
                <w:sz w:val="21"/>
                <w:szCs w:val="21"/>
                <w:lang w:val="en-US" w:eastAsia="zh-CN"/>
              </w:rPr>
              <w:t>贡献和深远影响</w:t>
            </w:r>
            <w:r>
              <w:rPr>
                <w:rFonts w:hint="eastAsia" w:ascii="仿宋" w:hAnsi="仿宋" w:eastAsia="仿宋"/>
                <w:color w:val="000000"/>
                <w:w w:val="95"/>
                <w:sz w:val="21"/>
                <w:szCs w:val="21"/>
              </w:rPr>
              <w:t>。</w:t>
            </w:r>
          </w:p>
          <w:p w14:paraId="63BBECAC">
            <w:pPr>
              <w:ind w:firstLine="398" w:firstLineChars="200"/>
              <w:rPr>
                <w:rFonts w:hint="eastAsia" w:ascii="仿宋" w:hAnsi="仿宋" w:eastAsia="仿宋"/>
                <w:color w:val="000000"/>
                <w:w w:val="95"/>
                <w:sz w:val="21"/>
                <w:szCs w:val="21"/>
              </w:rPr>
            </w:pPr>
            <w:r>
              <w:rPr>
                <w:rFonts w:hint="eastAsia" w:ascii="仿宋" w:hAnsi="仿宋" w:eastAsia="仿宋"/>
                <w:color w:val="000000"/>
                <w:w w:val="95"/>
                <w:sz w:val="21"/>
                <w:szCs w:val="21"/>
              </w:rPr>
              <w:t>为增强</w:t>
            </w:r>
            <w:r>
              <w:rPr>
                <w:rFonts w:hint="eastAsia" w:ascii="仿宋" w:hAnsi="仿宋" w:eastAsia="仿宋"/>
                <w:color w:val="000000"/>
                <w:w w:val="95"/>
                <w:sz w:val="21"/>
                <w:szCs w:val="21"/>
                <w:lang w:val="en-US" w:eastAsia="zh-CN"/>
              </w:rPr>
              <w:t>报道的</w:t>
            </w:r>
            <w:r>
              <w:rPr>
                <w:rFonts w:hint="eastAsia" w:ascii="仿宋" w:hAnsi="仿宋" w:eastAsia="仿宋"/>
                <w:color w:val="000000"/>
                <w:w w:val="95"/>
                <w:sz w:val="21"/>
                <w:szCs w:val="21"/>
              </w:rPr>
              <w:t>国际视角与</w:t>
            </w:r>
            <w:r>
              <w:rPr>
                <w:rFonts w:hint="eastAsia" w:ascii="仿宋" w:hAnsi="仿宋" w:eastAsia="仿宋"/>
                <w:color w:val="000000"/>
                <w:w w:val="95"/>
                <w:sz w:val="21"/>
                <w:szCs w:val="21"/>
                <w:lang w:val="en-US" w:eastAsia="zh-CN"/>
              </w:rPr>
              <w:t>解读深</w:t>
            </w:r>
            <w:r>
              <w:rPr>
                <w:rFonts w:hint="eastAsia" w:ascii="仿宋" w:hAnsi="仿宋" w:eastAsia="仿宋"/>
                <w:color w:val="000000"/>
                <w:w w:val="95"/>
                <w:sz w:val="21"/>
                <w:szCs w:val="21"/>
              </w:rPr>
              <w:t>度，</w:t>
            </w:r>
            <w:r>
              <w:rPr>
                <w:rFonts w:hint="eastAsia" w:ascii="仿宋" w:hAnsi="仿宋" w:eastAsia="仿宋"/>
                <w:color w:val="000000"/>
                <w:w w:val="95"/>
                <w:sz w:val="21"/>
                <w:szCs w:val="21"/>
                <w:lang w:val="en-US" w:eastAsia="zh-CN"/>
              </w:rPr>
              <w:t>作者同时还</w:t>
            </w:r>
            <w:r>
              <w:rPr>
                <w:rFonts w:hint="eastAsia" w:ascii="仿宋" w:hAnsi="仿宋" w:eastAsia="仿宋"/>
                <w:color w:val="000000"/>
                <w:w w:val="95"/>
                <w:sz w:val="21"/>
                <w:szCs w:val="21"/>
              </w:rPr>
              <w:t>采访</w:t>
            </w:r>
            <w:r>
              <w:rPr>
                <w:rFonts w:hint="eastAsia" w:ascii="仿宋" w:hAnsi="仿宋" w:eastAsia="仿宋"/>
                <w:color w:val="000000"/>
                <w:w w:val="95"/>
                <w:sz w:val="21"/>
                <w:szCs w:val="21"/>
                <w:lang w:val="en-US" w:eastAsia="zh-CN"/>
              </w:rPr>
              <w:t>了时任</w:t>
            </w:r>
            <w:r>
              <w:rPr>
                <w:rFonts w:hint="eastAsia" w:ascii="仿宋" w:hAnsi="仿宋" w:eastAsia="仿宋"/>
                <w:color w:val="000000"/>
                <w:w w:val="95"/>
                <w:sz w:val="21"/>
                <w:szCs w:val="21"/>
              </w:rPr>
              <w:t>苹果公司CEO库克、德国英飞凌高管、中国工程院院士及新能源企业负责人</w:t>
            </w:r>
            <w:r>
              <w:rPr>
                <w:rFonts w:hint="eastAsia" w:ascii="仿宋" w:hAnsi="仿宋" w:eastAsia="仿宋"/>
                <w:color w:val="000000"/>
                <w:w w:val="95"/>
                <w:sz w:val="21"/>
                <w:szCs w:val="21"/>
                <w:lang w:val="en-US" w:eastAsia="zh-CN"/>
              </w:rPr>
              <w:t>等重要信源</w:t>
            </w:r>
            <w:r>
              <w:rPr>
                <w:rFonts w:hint="eastAsia" w:ascii="仿宋" w:hAnsi="仿宋" w:eastAsia="仿宋"/>
                <w:color w:val="000000"/>
                <w:w w:val="95"/>
                <w:sz w:val="21"/>
                <w:szCs w:val="21"/>
              </w:rPr>
              <w:t>，从政策、产业、科技与国际合作等维度，对中国绿色转型的全球意义进行交叉印证。</w:t>
            </w:r>
          </w:p>
          <w:p w14:paraId="5FEC1E7B">
            <w:pPr>
              <w:ind w:firstLine="398" w:firstLineChars="200"/>
              <w:rPr>
                <w:rFonts w:ascii="仿宋" w:hAnsi="仿宋" w:eastAsia="仿宋"/>
                <w:color w:val="000000"/>
                <w:w w:val="95"/>
                <w:sz w:val="21"/>
                <w:szCs w:val="21"/>
              </w:rPr>
            </w:pPr>
            <w:r>
              <w:rPr>
                <w:rFonts w:hint="eastAsia" w:ascii="仿宋" w:hAnsi="仿宋" w:eastAsia="仿宋"/>
                <w:color w:val="000000"/>
                <w:w w:val="95"/>
                <w:sz w:val="21"/>
                <w:szCs w:val="21"/>
                <w:lang w:val="en-US" w:eastAsia="zh-CN"/>
              </w:rPr>
              <w:t>该作品</w:t>
            </w:r>
            <w:r>
              <w:rPr>
                <w:rFonts w:hint="eastAsia" w:ascii="仿宋" w:hAnsi="仿宋" w:eastAsia="仿宋"/>
                <w:color w:val="000000"/>
                <w:w w:val="95"/>
                <w:sz w:val="21"/>
                <w:szCs w:val="21"/>
              </w:rPr>
              <w:t>采用“权威访谈+国际对话”叙事架构，以事实、数据和</w:t>
            </w:r>
            <w:r>
              <w:rPr>
                <w:rFonts w:hint="eastAsia" w:ascii="仿宋" w:hAnsi="仿宋" w:eastAsia="仿宋"/>
                <w:color w:val="000000"/>
                <w:w w:val="95"/>
                <w:sz w:val="21"/>
                <w:szCs w:val="21"/>
                <w:lang w:val="en-US" w:eastAsia="zh-CN"/>
              </w:rPr>
              <w:t>人物采访</w:t>
            </w:r>
            <w:r>
              <w:rPr>
                <w:rFonts w:hint="eastAsia" w:ascii="仿宋" w:hAnsi="仿宋" w:eastAsia="仿宋"/>
                <w:color w:val="000000"/>
                <w:w w:val="95"/>
                <w:sz w:val="21"/>
                <w:szCs w:val="21"/>
              </w:rPr>
              <w:t>为支撑，依托报纸头版版面和</w:t>
            </w:r>
            <w:r>
              <w:rPr>
                <w:rFonts w:hint="eastAsia" w:ascii="仿宋" w:hAnsi="仿宋" w:eastAsia="仿宋"/>
                <w:color w:val="000000"/>
                <w:w w:val="95"/>
                <w:sz w:val="21"/>
                <w:szCs w:val="21"/>
                <w:lang w:val="en-US" w:eastAsia="zh-CN"/>
              </w:rPr>
              <w:t>数字</w:t>
            </w:r>
            <w:r>
              <w:rPr>
                <w:rFonts w:hint="eastAsia" w:ascii="仿宋" w:hAnsi="仿宋" w:eastAsia="仿宋"/>
                <w:color w:val="000000"/>
                <w:w w:val="95"/>
                <w:sz w:val="21"/>
                <w:szCs w:val="21"/>
              </w:rPr>
              <w:t>媒体矩阵</w:t>
            </w:r>
            <w:r>
              <w:rPr>
                <w:rFonts w:hint="eastAsia" w:ascii="仿宋" w:hAnsi="仿宋" w:eastAsia="仿宋"/>
                <w:color w:val="000000"/>
                <w:w w:val="95"/>
                <w:sz w:val="21"/>
                <w:szCs w:val="21"/>
                <w:lang w:val="en-US" w:eastAsia="zh-CN"/>
              </w:rPr>
              <w:t>持续放大</w:t>
            </w:r>
            <w:r>
              <w:rPr>
                <w:rFonts w:hint="eastAsia" w:ascii="仿宋" w:hAnsi="仿宋" w:eastAsia="仿宋"/>
                <w:color w:val="000000"/>
                <w:w w:val="95"/>
                <w:sz w:val="21"/>
                <w:szCs w:val="21"/>
              </w:rPr>
              <w:t>影响力，清晰传递中国以开放姿态、务实举措</w:t>
            </w:r>
            <w:r>
              <w:rPr>
                <w:rFonts w:hint="eastAsia" w:ascii="仿宋" w:hAnsi="仿宋" w:eastAsia="仿宋"/>
                <w:color w:val="000000"/>
                <w:w w:val="95"/>
                <w:sz w:val="21"/>
                <w:szCs w:val="21"/>
                <w:lang w:val="en-US" w:eastAsia="zh-CN"/>
              </w:rPr>
              <w:t>切实推动全球绿色转型</w:t>
            </w:r>
            <w:r>
              <w:rPr>
                <w:rFonts w:hint="eastAsia" w:ascii="仿宋" w:hAnsi="仿宋" w:eastAsia="仿宋"/>
                <w:color w:val="000000"/>
                <w:w w:val="95"/>
                <w:sz w:val="21"/>
                <w:szCs w:val="21"/>
              </w:rPr>
              <w:t>的</w:t>
            </w:r>
            <w:r>
              <w:rPr>
                <w:rFonts w:hint="eastAsia" w:ascii="仿宋" w:hAnsi="仿宋" w:eastAsia="仿宋"/>
                <w:color w:val="000000"/>
                <w:w w:val="95"/>
                <w:sz w:val="21"/>
                <w:szCs w:val="21"/>
                <w:lang w:val="en-US" w:eastAsia="zh-CN"/>
              </w:rPr>
              <w:t>重要意义</w:t>
            </w:r>
            <w:r>
              <w:rPr>
                <w:rFonts w:hint="eastAsia" w:ascii="仿宋" w:hAnsi="仿宋" w:eastAsia="仿宋"/>
                <w:color w:val="000000"/>
                <w:w w:val="95"/>
                <w:sz w:val="21"/>
                <w:szCs w:val="21"/>
              </w:rPr>
              <w:t>。作品先后被美联社等512家海外媒体及60余家国内主流媒体转载</w:t>
            </w:r>
            <w:r>
              <w:rPr>
                <w:rFonts w:hint="eastAsia" w:ascii="仿宋" w:hAnsi="仿宋" w:eastAsia="仿宋"/>
                <w:color w:val="000000"/>
                <w:w w:val="95"/>
                <w:sz w:val="21"/>
                <w:szCs w:val="21"/>
                <w:lang w:val="en-US" w:eastAsia="zh-CN"/>
              </w:rPr>
              <w:t>转引</w:t>
            </w:r>
            <w:r>
              <w:rPr>
                <w:rFonts w:hint="eastAsia" w:ascii="仿宋" w:hAnsi="仿宋" w:eastAsia="仿宋"/>
                <w:color w:val="000000"/>
                <w:w w:val="95"/>
                <w:sz w:val="21"/>
                <w:szCs w:val="21"/>
              </w:rPr>
              <w:t>，覆盖海外受众1.4亿人次，国内传播</w:t>
            </w:r>
            <w:r>
              <w:rPr>
                <w:rFonts w:hint="eastAsia" w:ascii="仿宋" w:hAnsi="仿宋" w:eastAsia="仿宋"/>
                <w:color w:val="000000"/>
                <w:w w:val="95"/>
                <w:sz w:val="21"/>
                <w:szCs w:val="21"/>
                <w:lang w:val="en-US" w:eastAsia="zh-CN"/>
              </w:rPr>
              <w:t>量</w:t>
            </w:r>
            <w:r>
              <w:rPr>
                <w:rFonts w:hint="eastAsia" w:ascii="仿宋" w:hAnsi="仿宋" w:eastAsia="仿宋"/>
                <w:color w:val="000000"/>
                <w:w w:val="95"/>
                <w:sz w:val="21"/>
                <w:szCs w:val="21"/>
              </w:rPr>
              <w:t>超4000万</w:t>
            </w:r>
            <w:bookmarkStart w:id="0" w:name="_GoBack"/>
            <w:bookmarkEnd w:id="0"/>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lang w:val="en-US" w:eastAsia="zh-CN"/>
              </w:rPr>
              <w:t>引发热议。海外</w:t>
            </w:r>
            <w:r>
              <w:rPr>
                <w:rFonts w:hint="eastAsia" w:ascii="仿宋" w:hAnsi="仿宋" w:eastAsia="仿宋"/>
                <w:color w:val="000000"/>
                <w:w w:val="95"/>
                <w:sz w:val="21"/>
                <w:szCs w:val="21"/>
              </w:rPr>
              <w:t>网友</w:t>
            </w:r>
            <w:r>
              <w:rPr>
                <w:rFonts w:hint="eastAsia" w:ascii="仿宋" w:hAnsi="仿宋" w:eastAsia="仿宋"/>
                <w:color w:val="000000"/>
                <w:w w:val="95"/>
                <w:sz w:val="21"/>
                <w:szCs w:val="21"/>
                <w:lang w:val="en-US" w:eastAsia="zh-CN"/>
              </w:rPr>
              <w:t>纷纷</w:t>
            </w:r>
            <w:r>
              <w:rPr>
                <w:rFonts w:hint="eastAsia" w:ascii="仿宋" w:hAnsi="仿宋" w:eastAsia="仿宋"/>
                <w:color w:val="000000"/>
                <w:w w:val="95"/>
                <w:sz w:val="21"/>
                <w:szCs w:val="21"/>
              </w:rPr>
              <w:t>表示中国</w:t>
            </w:r>
            <w:r>
              <w:rPr>
                <w:rFonts w:hint="eastAsia" w:ascii="仿宋" w:hAnsi="仿宋" w:eastAsia="仿宋"/>
                <w:color w:val="000000"/>
                <w:w w:val="95"/>
                <w:sz w:val="21"/>
                <w:szCs w:val="21"/>
                <w:lang w:eastAsia="zh-CN"/>
              </w:rPr>
              <w:t>在</w:t>
            </w:r>
            <w:r>
              <w:rPr>
                <w:rFonts w:hint="eastAsia" w:ascii="仿宋" w:hAnsi="仿宋" w:eastAsia="仿宋"/>
                <w:color w:val="000000"/>
                <w:w w:val="95"/>
                <w:sz w:val="21"/>
                <w:szCs w:val="21"/>
              </w:rPr>
              <w:t>新能源</w:t>
            </w:r>
            <w:r>
              <w:rPr>
                <w:rFonts w:hint="eastAsia" w:ascii="仿宋" w:hAnsi="仿宋" w:eastAsia="仿宋"/>
                <w:color w:val="000000"/>
                <w:w w:val="95"/>
                <w:sz w:val="21"/>
                <w:szCs w:val="21"/>
                <w:lang w:val="en-US" w:eastAsia="zh-CN"/>
              </w:rPr>
              <w:t>领域取得</w:t>
            </w:r>
            <w:r>
              <w:rPr>
                <w:rFonts w:hint="eastAsia" w:ascii="仿宋" w:hAnsi="仿宋" w:eastAsia="仿宋"/>
                <w:color w:val="000000"/>
                <w:w w:val="95"/>
                <w:sz w:val="21"/>
                <w:szCs w:val="21"/>
              </w:rPr>
              <w:t>的成就世界瞩目。</w:t>
            </w:r>
          </w:p>
        </w:tc>
      </w:tr>
      <w:tr w14:paraId="040A1579">
        <w:trPr>
          <w:trHeight w:val="1279" w:hRule="exact"/>
        </w:trPr>
        <w:tc>
          <w:tcPr>
            <w:tcW w:w="992" w:type="dxa"/>
            <w:vMerge w:val="restart"/>
            <w:tcBorders>
              <w:tl2br w:val="nil"/>
              <w:tr2bl w:val="nil"/>
            </w:tcBorders>
            <w:vAlign w:val="center"/>
          </w:tcPr>
          <w:p w14:paraId="7D7B43EE">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5D93E28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4B5E980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2672CAA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00" w:type="dxa"/>
            <w:gridSpan w:val="5"/>
            <w:tcBorders>
              <w:tl2br w:val="nil"/>
              <w:tr2bl w:val="nil"/>
            </w:tcBorders>
            <w:vAlign w:val="center"/>
          </w:tcPr>
          <w:p w14:paraId="203E21EF">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0E192FF2">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11"/>
            <w:tcBorders>
              <w:tl2br w:val="nil"/>
              <w:tr2bl w:val="nil"/>
            </w:tcBorders>
            <w:vAlign w:val="center"/>
          </w:tcPr>
          <w:p w14:paraId="3769168D">
            <w:pPr>
              <w:spacing w:line="260" w:lineRule="exact"/>
              <w:rPr>
                <w:rFonts w:ascii="仿宋" w:hAnsi="仿宋" w:eastAsia="仿宋"/>
                <w:color w:val="000000"/>
                <w:szCs w:val="21"/>
              </w:rPr>
            </w:pPr>
            <w:r>
              <w:rPr>
                <w:rFonts w:hint="eastAsia" w:ascii="仿宋" w:hAnsi="仿宋" w:eastAsia="仿宋" w:cs="仿宋"/>
                <w:color w:val="000000"/>
                <w:sz w:val="21"/>
                <w:szCs w:val="15"/>
              </w:rPr>
              <w:t>https://enapp.chinadaily.com.cn/a/202512/01/AP692c70f6a310d93d63cbbd89.html</w:t>
            </w:r>
          </w:p>
        </w:tc>
      </w:tr>
      <w:tr w14:paraId="2CF48CC3">
        <w:trPr>
          <w:trHeight w:val="3105" w:hRule="exact"/>
        </w:trPr>
        <w:tc>
          <w:tcPr>
            <w:tcW w:w="992" w:type="dxa"/>
            <w:vMerge w:val="continue"/>
            <w:tcBorders>
              <w:tl2br w:val="nil"/>
              <w:tr2bl w:val="nil"/>
            </w:tcBorders>
            <w:vAlign w:val="center"/>
          </w:tcPr>
          <w:p w14:paraId="18B7D068">
            <w:pPr>
              <w:spacing w:line="320" w:lineRule="exact"/>
              <w:jc w:val="center"/>
              <w:rPr>
                <w:rFonts w:ascii="华文中宋" w:hAnsi="华文中宋" w:eastAsia="华文中宋"/>
                <w:color w:val="000000"/>
                <w:sz w:val="28"/>
              </w:rPr>
            </w:pPr>
          </w:p>
        </w:tc>
        <w:tc>
          <w:tcPr>
            <w:tcW w:w="1400" w:type="dxa"/>
            <w:gridSpan w:val="5"/>
            <w:tcBorders>
              <w:tl2br w:val="nil"/>
              <w:tr2bl w:val="nil"/>
            </w:tcBorders>
            <w:vAlign w:val="center"/>
          </w:tcPr>
          <w:p w14:paraId="0172F760">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B19704C">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gridSpan w:val="2"/>
            <w:tcBorders>
              <w:tl2br w:val="nil"/>
              <w:tr2bl w:val="nil"/>
            </w:tcBorders>
            <w:vAlign w:val="center"/>
          </w:tcPr>
          <w:p w14:paraId="793BE2AC">
            <w:pPr>
              <w:spacing w:line="240" w:lineRule="exact"/>
              <w:rPr>
                <w:rFonts w:ascii="仿宋" w:hAnsi="仿宋" w:eastAsia="仿宋"/>
                <w:color w:val="000000"/>
                <w:sz w:val="21"/>
                <w:szCs w:val="21"/>
              </w:rPr>
            </w:pPr>
            <w:r>
              <w:rPr>
                <w:rFonts w:hint="eastAsia" w:ascii="仿宋" w:hAnsi="仿宋" w:eastAsia="仿宋"/>
                <w:color w:val="000000"/>
                <w:sz w:val="21"/>
                <w:szCs w:val="21"/>
                <w:lang w:val="en-US" w:eastAsia="zh-CN"/>
              </w:rPr>
              <w:t>2</w:t>
            </w:r>
            <w:r>
              <w:rPr>
                <w:rFonts w:hint="default" w:ascii="仿宋" w:hAnsi="仿宋" w:eastAsia="仿宋"/>
                <w:color w:val="000000"/>
                <w:sz w:val="21"/>
                <w:szCs w:val="21"/>
                <w:lang w:val="en-US" w:eastAsia="zh-CN"/>
              </w:rPr>
              <w:t>0</w:t>
            </w:r>
            <w:r>
              <w:rPr>
                <w:rFonts w:hint="eastAsia" w:ascii="仿宋" w:hAnsi="仿宋" w:eastAsia="仿宋"/>
                <w:color w:val="000000"/>
                <w:sz w:val="21"/>
                <w:szCs w:val="21"/>
              </w:rPr>
              <w:t>万</w:t>
            </w:r>
          </w:p>
        </w:tc>
        <w:tc>
          <w:tcPr>
            <w:tcW w:w="1005" w:type="dxa"/>
            <w:gridSpan w:val="2"/>
            <w:tcBorders>
              <w:tl2br w:val="nil"/>
              <w:tr2bl w:val="nil"/>
            </w:tcBorders>
            <w:vAlign w:val="center"/>
          </w:tcPr>
          <w:p w14:paraId="6C624372">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8357881">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4"/>
            <w:tcBorders>
              <w:tl2br w:val="nil"/>
              <w:tr2bl w:val="nil"/>
            </w:tcBorders>
            <w:vAlign w:val="center"/>
          </w:tcPr>
          <w:p w14:paraId="39D7661D">
            <w:pPr>
              <w:spacing w:line="240" w:lineRule="exact"/>
              <w:rPr>
                <w:rFonts w:ascii="仿宋" w:hAnsi="仿宋" w:eastAsia="仿宋"/>
                <w:color w:val="000000"/>
                <w:sz w:val="21"/>
                <w:szCs w:val="21"/>
              </w:rPr>
            </w:pPr>
            <w:r>
              <w:rPr>
                <w:rFonts w:hint="eastAsia" w:ascii="仿宋" w:hAnsi="仿宋" w:eastAsia="仿宋"/>
                <w:color w:val="000000"/>
                <w:sz w:val="21"/>
                <w:szCs w:val="21"/>
              </w:rPr>
              <w:t>910</w:t>
            </w:r>
          </w:p>
        </w:tc>
        <w:tc>
          <w:tcPr>
            <w:tcW w:w="1122" w:type="dxa"/>
            <w:gridSpan w:val="2"/>
            <w:tcBorders>
              <w:tl2br w:val="nil"/>
              <w:tr2bl w:val="nil"/>
            </w:tcBorders>
            <w:vAlign w:val="center"/>
          </w:tcPr>
          <w:p w14:paraId="7FBC425E">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19AF0E6F">
            <w:pPr>
              <w:spacing w:line="240" w:lineRule="exact"/>
              <w:rPr>
                <w:rFonts w:ascii="仿宋" w:hAnsi="仿宋" w:eastAsia="仿宋"/>
                <w:color w:val="000000"/>
                <w:sz w:val="21"/>
                <w:szCs w:val="21"/>
              </w:rPr>
            </w:pPr>
            <w:r>
              <w:rPr>
                <w:rFonts w:hint="eastAsia" w:ascii="仿宋" w:hAnsi="仿宋" w:eastAsia="仿宋"/>
                <w:color w:val="000000"/>
                <w:sz w:val="21"/>
                <w:szCs w:val="21"/>
              </w:rPr>
              <w:t>1.8亿</w:t>
            </w:r>
          </w:p>
        </w:tc>
      </w:tr>
      <w:tr w14:paraId="2771D562">
        <w:trPr>
          <w:trHeight w:val="3292" w:hRule="exact"/>
        </w:trPr>
        <w:tc>
          <w:tcPr>
            <w:tcW w:w="992" w:type="dxa"/>
            <w:tcBorders>
              <w:tl2br w:val="nil"/>
              <w:tr2bl w:val="nil"/>
            </w:tcBorders>
            <w:vAlign w:val="center"/>
          </w:tcPr>
          <w:p w14:paraId="087748FD">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6EE9EB89">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FE9155A">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568180DB">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0E6BAB88">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0334516A">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8821" w:type="dxa"/>
            <w:gridSpan w:val="16"/>
            <w:tcBorders>
              <w:tl2br w:val="nil"/>
              <w:tr2bl w:val="nil"/>
            </w:tcBorders>
            <w:vAlign w:val="center"/>
          </w:tcPr>
          <w:p w14:paraId="5D634988">
            <w:pPr>
              <w:rPr>
                <w:rFonts w:ascii="仿宋" w:hAnsi="仿宋" w:eastAsia="仿宋" w:cs="仿宋"/>
                <w:color w:val="000000"/>
                <w:sz w:val="21"/>
                <w:szCs w:val="21"/>
                <w:lang w:bidi="ar"/>
              </w:rPr>
            </w:pPr>
          </w:p>
          <w:p w14:paraId="6D557124">
            <w:pPr>
              <w:ind w:firstLine="398" w:firstLineChars="200"/>
              <w:rPr>
                <w:rFonts w:ascii="仿宋" w:hAnsi="仿宋" w:eastAsia="仿宋"/>
                <w:color w:val="000000"/>
                <w:w w:val="95"/>
                <w:sz w:val="21"/>
                <w:szCs w:val="21"/>
              </w:rPr>
            </w:pPr>
            <w:r>
              <w:rPr>
                <w:rFonts w:ascii="仿宋" w:hAnsi="仿宋" w:eastAsia="仿宋"/>
                <w:color w:val="000000"/>
                <w:w w:val="95"/>
                <w:sz w:val="21"/>
                <w:szCs w:val="21"/>
              </w:rPr>
              <w:t>该报道以</w:t>
            </w:r>
            <w:r>
              <w:rPr>
                <w:rFonts w:hint="eastAsia" w:ascii="仿宋" w:hAnsi="仿宋" w:eastAsia="仿宋"/>
                <w:color w:val="000000"/>
                <w:w w:val="95"/>
                <w:sz w:val="21"/>
                <w:szCs w:val="21"/>
              </w:rPr>
              <w:t>工信部部长独家专访</w:t>
            </w:r>
            <w:r>
              <w:rPr>
                <w:rFonts w:ascii="仿宋" w:hAnsi="仿宋" w:eastAsia="仿宋"/>
                <w:color w:val="000000"/>
                <w:w w:val="95"/>
                <w:sz w:val="21"/>
                <w:szCs w:val="21"/>
              </w:rPr>
              <w:t>为核心</w:t>
            </w:r>
            <w:r>
              <w:rPr>
                <w:rFonts w:hint="eastAsia" w:ascii="仿宋" w:hAnsi="仿宋" w:eastAsia="仿宋"/>
                <w:color w:val="000000"/>
                <w:w w:val="95"/>
                <w:sz w:val="21"/>
                <w:szCs w:val="21"/>
                <w:lang w:val="en-US" w:eastAsia="zh-CN"/>
              </w:rPr>
              <w:t>要素</w:t>
            </w:r>
            <w:r>
              <w:rPr>
                <w:rFonts w:ascii="仿宋" w:hAnsi="仿宋" w:eastAsia="仿宋"/>
                <w:color w:val="000000"/>
                <w:w w:val="95"/>
                <w:sz w:val="21"/>
                <w:szCs w:val="21"/>
              </w:rPr>
              <w:t>，</w:t>
            </w:r>
            <w:r>
              <w:rPr>
                <w:rFonts w:hint="eastAsia" w:ascii="仿宋" w:hAnsi="仿宋" w:eastAsia="仿宋"/>
                <w:color w:val="000000"/>
                <w:w w:val="95"/>
                <w:sz w:val="21"/>
                <w:szCs w:val="21"/>
                <w:lang w:val="en-US" w:eastAsia="zh-CN"/>
              </w:rPr>
              <w:t>结合多领域国内外</w:t>
            </w:r>
            <w:r>
              <w:rPr>
                <w:rFonts w:ascii="仿宋" w:hAnsi="仿宋" w:eastAsia="仿宋"/>
                <w:color w:val="000000"/>
                <w:w w:val="95"/>
                <w:sz w:val="21"/>
                <w:szCs w:val="21"/>
              </w:rPr>
              <w:t>受访者共同参与构建叙事框架，在</w:t>
            </w:r>
            <w:r>
              <w:rPr>
                <w:rFonts w:hint="eastAsia" w:ascii="仿宋" w:hAnsi="仿宋" w:eastAsia="仿宋"/>
                <w:color w:val="000000"/>
                <w:w w:val="95"/>
                <w:sz w:val="21"/>
                <w:szCs w:val="21"/>
                <w:lang w:val="en-US" w:eastAsia="zh-CN"/>
              </w:rPr>
              <w:t>中国日报</w:t>
            </w:r>
            <w:r>
              <w:rPr>
                <w:rFonts w:ascii="仿宋" w:hAnsi="仿宋" w:eastAsia="仿宋"/>
                <w:color w:val="000000"/>
                <w:w w:val="95"/>
                <w:sz w:val="21"/>
                <w:szCs w:val="21"/>
              </w:rPr>
              <w:t>头版及</w:t>
            </w:r>
            <w:r>
              <w:rPr>
                <w:rFonts w:hint="eastAsia" w:ascii="仿宋" w:hAnsi="仿宋" w:eastAsia="仿宋"/>
                <w:color w:val="000000"/>
                <w:w w:val="95"/>
                <w:sz w:val="21"/>
                <w:szCs w:val="21"/>
                <w:lang w:val="en-US" w:eastAsia="zh-CN"/>
              </w:rPr>
              <w:t>数字</w:t>
            </w:r>
            <w:r>
              <w:rPr>
                <w:rFonts w:ascii="仿宋" w:hAnsi="仿宋" w:eastAsia="仿宋"/>
                <w:color w:val="000000"/>
                <w:w w:val="95"/>
                <w:sz w:val="21"/>
                <w:szCs w:val="21"/>
              </w:rPr>
              <w:t>媒体平台同步发布深度</w:t>
            </w:r>
            <w:r>
              <w:rPr>
                <w:rFonts w:hint="eastAsia" w:ascii="仿宋" w:hAnsi="仿宋" w:eastAsia="仿宋"/>
                <w:color w:val="000000"/>
                <w:w w:val="95"/>
                <w:sz w:val="21"/>
                <w:szCs w:val="21"/>
                <w:lang w:val="en-US" w:eastAsia="zh-CN"/>
              </w:rPr>
              <w:t>报道</w:t>
            </w:r>
            <w:r>
              <w:rPr>
                <w:rFonts w:ascii="仿宋" w:hAnsi="仿宋" w:eastAsia="仿宋"/>
                <w:color w:val="000000"/>
                <w:w w:val="95"/>
                <w:sz w:val="21"/>
                <w:szCs w:val="21"/>
              </w:rPr>
              <w:t>稿件和双语视频，系统</w:t>
            </w:r>
            <w:r>
              <w:rPr>
                <w:rFonts w:hint="eastAsia" w:ascii="仿宋" w:hAnsi="仿宋" w:eastAsia="仿宋"/>
                <w:color w:val="000000"/>
                <w:w w:val="95"/>
                <w:sz w:val="21"/>
                <w:szCs w:val="21"/>
                <w:lang w:val="en-US" w:eastAsia="zh-CN"/>
              </w:rPr>
              <w:t>性</w:t>
            </w:r>
            <w:r>
              <w:rPr>
                <w:rFonts w:ascii="仿宋" w:hAnsi="仿宋" w:eastAsia="仿宋"/>
                <w:color w:val="000000"/>
                <w:w w:val="95"/>
                <w:sz w:val="21"/>
                <w:szCs w:val="21"/>
              </w:rPr>
              <w:t>回应国际舆论对中国制造与全球气候治理关系的关注，用事实和数字展现了中国新能源产业对全球的贡献和机遇，</w:t>
            </w:r>
            <w:r>
              <w:rPr>
                <w:rFonts w:hint="eastAsia" w:ascii="仿宋" w:hAnsi="仿宋" w:eastAsia="仿宋"/>
                <w:color w:val="000000"/>
                <w:w w:val="95"/>
                <w:sz w:val="21"/>
                <w:szCs w:val="21"/>
              </w:rPr>
              <w:t>有效</w:t>
            </w:r>
            <w:r>
              <w:rPr>
                <w:rFonts w:ascii="仿宋" w:hAnsi="仿宋" w:eastAsia="仿宋"/>
                <w:color w:val="000000"/>
                <w:w w:val="95"/>
                <w:sz w:val="21"/>
                <w:szCs w:val="21"/>
              </w:rPr>
              <w:t>驳斥了外媒关于中国绿色产能过剩的谬论</w:t>
            </w:r>
            <w:r>
              <w:rPr>
                <w:rFonts w:hint="eastAsia" w:ascii="仿宋" w:hAnsi="仿宋" w:eastAsia="仿宋"/>
                <w:color w:val="000000"/>
                <w:w w:val="95"/>
                <w:sz w:val="21"/>
                <w:szCs w:val="21"/>
                <w:lang w:eastAsia="zh-CN"/>
              </w:rPr>
              <w:t>，</w:t>
            </w:r>
            <w:r>
              <w:rPr>
                <w:rFonts w:hint="eastAsia" w:ascii="仿宋" w:hAnsi="仿宋" w:eastAsia="仿宋"/>
                <w:color w:val="000000"/>
                <w:w w:val="95"/>
                <w:sz w:val="21"/>
                <w:szCs w:val="21"/>
                <w:lang w:val="en-US" w:eastAsia="zh-CN"/>
              </w:rPr>
              <w:t>以正视听</w:t>
            </w:r>
            <w:r>
              <w:rPr>
                <w:rFonts w:ascii="仿宋" w:hAnsi="仿宋" w:eastAsia="仿宋"/>
                <w:color w:val="000000"/>
                <w:w w:val="95"/>
                <w:sz w:val="21"/>
                <w:szCs w:val="21"/>
              </w:rPr>
              <w:t>。</w:t>
            </w:r>
            <w:r>
              <w:rPr>
                <w:rFonts w:hint="eastAsia" w:ascii="仿宋" w:hAnsi="仿宋" w:eastAsia="仿宋"/>
                <w:color w:val="000000"/>
                <w:w w:val="95"/>
                <w:sz w:val="21"/>
                <w:szCs w:val="21"/>
                <w:lang w:val="en-US" w:eastAsia="zh-CN"/>
              </w:rPr>
              <w:t>该报道还</w:t>
            </w:r>
            <w:r>
              <w:rPr>
                <w:rFonts w:ascii="仿宋" w:hAnsi="仿宋" w:eastAsia="仿宋"/>
                <w:color w:val="000000"/>
                <w:w w:val="95"/>
                <w:sz w:val="21"/>
                <w:szCs w:val="21"/>
              </w:rPr>
              <w:t>将宏观理念转化为可观察、可验证的产业实践案例，提升了中国生态文明与绿色发展议题的国际</w:t>
            </w:r>
            <w:r>
              <w:rPr>
                <w:rFonts w:hint="eastAsia" w:ascii="仿宋" w:hAnsi="仿宋" w:eastAsia="仿宋"/>
                <w:color w:val="000000"/>
                <w:w w:val="95"/>
                <w:sz w:val="21"/>
                <w:szCs w:val="21"/>
                <w:lang w:val="en-US" w:eastAsia="zh-CN"/>
              </w:rPr>
              <w:t>报道实效和</w:t>
            </w:r>
            <w:r>
              <w:rPr>
                <w:rFonts w:ascii="仿宋" w:hAnsi="仿宋" w:eastAsia="仿宋"/>
                <w:color w:val="000000"/>
                <w:w w:val="95"/>
                <w:sz w:val="21"/>
                <w:szCs w:val="21"/>
              </w:rPr>
              <w:t>传播</w:t>
            </w:r>
            <w:r>
              <w:rPr>
                <w:rFonts w:hint="eastAsia" w:ascii="仿宋" w:hAnsi="仿宋" w:eastAsia="仿宋"/>
                <w:color w:val="000000"/>
                <w:w w:val="95"/>
                <w:sz w:val="21"/>
                <w:szCs w:val="21"/>
                <w:lang w:val="en-US" w:eastAsia="zh-CN"/>
              </w:rPr>
              <w:t>力、</w:t>
            </w:r>
            <w:r>
              <w:rPr>
                <w:rFonts w:ascii="仿宋" w:hAnsi="仿宋" w:eastAsia="仿宋"/>
                <w:color w:val="000000"/>
                <w:w w:val="95"/>
                <w:sz w:val="21"/>
                <w:szCs w:val="21"/>
              </w:rPr>
              <w:t>说服力，为国际社会理解中国在全球气候治理中的角色提供了具有新闻价值和现实意义的中国样本。</w:t>
            </w:r>
          </w:p>
          <w:p w14:paraId="685B5FFC">
            <w:pPr>
              <w:ind w:firstLine="640" w:firstLineChars="200"/>
              <w:rPr>
                <w:rFonts w:ascii="仿宋" w:hAnsi="仿宋" w:eastAsia="仿宋"/>
                <w:color w:val="000000"/>
                <w:w w:val="95"/>
                <w:sz w:val="21"/>
                <w:szCs w:val="21"/>
              </w:rPr>
            </w:pPr>
            <w:r>
              <w:drawing>
                <wp:anchor distT="0" distB="0" distL="114300" distR="114300" simplePos="0" relativeHeight="251660288" behindDoc="0" locked="0" layoutInCell="1" allowOverlap="1">
                  <wp:simplePos x="0" y="0"/>
                  <wp:positionH relativeFrom="column">
                    <wp:posOffset>4230370</wp:posOffset>
                  </wp:positionH>
                  <wp:positionV relativeFrom="paragraph">
                    <wp:posOffset>147320</wp:posOffset>
                  </wp:positionV>
                  <wp:extent cx="657225" cy="366395"/>
                  <wp:effectExtent l="0" t="0" r="3175" b="190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657225" cy="366395"/>
                          </a:xfrm>
                          <a:prstGeom prst="rect">
                            <a:avLst/>
                          </a:prstGeom>
                          <a:noFill/>
                          <a:ln>
                            <a:noFill/>
                          </a:ln>
                        </pic:spPr>
                      </pic:pic>
                    </a:graphicData>
                  </a:graphic>
                </wp:anchor>
              </w:drawing>
            </w:r>
            <w:r>
              <w:drawing>
                <wp:anchor distT="0" distB="0" distL="114300" distR="114300" simplePos="0" relativeHeight="251659264" behindDoc="0" locked="0" layoutInCell="1" allowOverlap="1">
                  <wp:simplePos x="0" y="0"/>
                  <wp:positionH relativeFrom="column">
                    <wp:posOffset>3510280</wp:posOffset>
                  </wp:positionH>
                  <wp:positionV relativeFrom="paragraph">
                    <wp:posOffset>191770</wp:posOffset>
                  </wp:positionV>
                  <wp:extent cx="490220" cy="313690"/>
                  <wp:effectExtent l="0" t="0" r="5080" b="381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90220" cy="313690"/>
                          </a:xfrm>
                          <a:prstGeom prst="rect">
                            <a:avLst/>
                          </a:prstGeom>
                          <a:noFill/>
                          <a:ln>
                            <a:noFill/>
                          </a:ln>
                        </pic:spPr>
                      </pic:pic>
                    </a:graphicData>
                  </a:graphic>
                </wp:anchor>
              </w:drawing>
            </w:r>
          </w:p>
          <w:p w14:paraId="61932D41">
            <w:pPr>
              <w:ind w:firstLine="398" w:firstLineChars="200"/>
              <w:rPr>
                <w:rFonts w:ascii="仿宋" w:hAnsi="仿宋" w:eastAsia="仿宋"/>
                <w:color w:val="000000"/>
                <w:w w:val="95"/>
                <w:sz w:val="21"/>
                <w:szCs w:val="21"/>
              </w:rPr>
            </w:pPr>
          </w:p>
          <w:p w14:paraId="00CC67BD">
            <w:pPr>
              <w:ind w:firstLine="398" w:firstLineChars="200"/>
              <w:rPr>
                <w:rFonts w:ascii="仿宋" w:hAnsi="仿宋" w:eastAsia="仿宋"/>
                <w:color w:val="000000"/>
                <w:w w:val="95"/>
                <w:sz w:val="21"/>
                <w:szCs w:val="21"/>
              </w:rPr>
            </w:pPr>
          </w:p>
          <w:p w14:paraId="27095B47">
            <w:pPr>
              <w:ind w:firstLine="398" w:firstLineChars="200"/>
              <w:rPr>
                <w:rFonts w:ascii="仿宋" w:hAnsi="仿宋" w:eastAsia="仿宋"/>
                <w:color w:val="000000"/>
                <w:w w:val="95"/>
                <w:sz w:val="21"/>
                <w:szCs w:val="21"/>
              </w:rPr>
            </w:pPr>
          </w:p>
          <w:p w14:paraId="58B52837">
            <w:pPr>
              <w:ind w:firstLine="420" w:firstLineChars="200"/>
              <w:rPr>
                <w:rFonts w:ascii="仿宋" w:hAnsi="仿宋" w:eastAsia="仿宋" w:cs="仿宋"/>
                <w:color w:val="000000"/>
                <w:sz w:val="21"/>
                <w:szCs w:val="21"/>
              </w:rPr>
            </w:pPr>
          </w:p>
          <w:p w14:paraId="12174569">
            <w:pPr>
              <w:spacing w:line="240" w:lineRule="exact"/>
              <w:rPr>
                <w:rFonts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0ECBA499">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41901D01">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2F1455EB">
        <w:trPr>
          <w:trHeight w:val="535" w:hRule="atLeast"/>
          <w:jc w:val="center"/>
        </w:trPr>
        <w:tc>
          <w:tcPr>
            <w:tcW w:w="9813" w:type="dxa"/>
            <w:gridSpan w:val="17"/>
            <w:tcBorders>
              <w:tl2br w:val="nil"/>
              <w:tr2bl w:val="nil"/>
            </w:tcBorders>
            <w:vAlign w:val="center"/>
          </w:tcPr>
          <w:p w14:paraId="7C476CE2">
            <w:pPr>
              <w:spacing w:line="360" w:lineRule="exact"/>
              <w:jc w:val="center"/>
              <w:rPr>
                <w:rFonts w:ascii="华文中宋" w:hAnsi="华文中宋" w:eastAsia="华文中宋"/>
                <w:sz w:val="28"/>
                <w:szCs w:val="28"/>
              </w:rPr>
            </w:pPr>
            <w:r>
              <w:rPr>
                <w:rFonts w:hint="eastAsia" w:ascii="黑体" w:hAnsi="黑体" w:eastAsia="黑体" w:cs="黑体"/>
                <w:sz w:val="28"/>
                <w:szCs w:val="28"/>
              </w:rPr>
              <w:t>以下仅自荐作品填报</w:t>
            </w:r>
          </w:p>
        </w:tc>
      </w:tr>
      <w:tr w14:paraId="0AC93F5B">
        <w:trPr>
          <w:trHeight w:val="737" w:hRule="exact"/>
          <w:jc w:val="center"/>
        </w:trPr>
        <w:tc>
          <w:tcPr>
            <w:tcW w:w="2133" w:type="dxa"/>
            <w:gridSpan w:val="5"/>
            <w:tcBorders>
              <w:tl2br w:val="nil"/>
              <w:tr2bl w:val="nil"/>
            </w:tcBorders>
            <w:vAlign w:val="center"/>
          </w:tcPr>
          <w:p w14:paraId="7EF84CE6">
            <w:pPr>
              <w:spacing w:line="320" w:lineRule="exact"/>
              <w:jc w:val="center"/>
              <w:rPr>
                <w:rFonts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6CE08CD">
            <w:pPr>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vAlign w:val="center"/>
          </w:tcPr>
          <w:p w14:paraId="0F6EEAA1">
            <w:pPr>
              <w:ind w:firstLine="398" w:firstLineChars="200"/>
              <w:rPr>
                <w:rFonts w:ascii="华文中宋" w:hAnsi="华文中宋" w:eastAsia="华文中宋"/>
                <w:sz w:val="28"/>
                <w:szCs w:val="28"/>
              </w:rPr>
            </w:pPr>
            <w:r>
              <w:rPr>
                <w:rFonts w:hint="eastAsia" w:ascii="仿宋" w:hAnsi="仿宋" w:eastAsia="仿宋"/>
                <w:color w:val="000000"/>
                <w:w w:val="95"/>
                <w:sz w:val="21"/>
                <w:szCs w:val="21"/>
              </w:rPr>
              <w:t>2025年中国日报好新闻一等奖</w:t>
            </w:r>
          </w:p>
        </w:tc>
      </w:tr>
      <w:tr w14:paraId="6A62AFA8">
        <w:trPr>
          <w:trHeight w:val="710" w:hRule="atLeast"/>
          <w:jc w:val="center"/>
        </w:trPr>
        <w:tc>
          <w:tcPr>
            <w:tcW w:w="1240" w:type="dxa"/>
            <w:gridSpan w:val="2"/>
            <w:vMerge w:val="restart"/>
            <w:tcBorders>
              <w:tl2br w:val="nil"/>
              <w:tr2bl w:val="nil"/>
            </w:tcBorders>
            <w:vAlign w:val="center"/>
          </w:tcPr>
          <w:p w14:paraId="295663E1">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推</w:t>
            </w:r>
          </w:p>
          <w:p w14:paraId="22E7A5FC">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荐</w:t>
            </w:r>
          </w:p>
          <w:p w14:paraId="34F2C2D5">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vAlign w:val="center"/>
          </w:tcPr>
          <w:p w14:paraId="53C55FCF">
            <w:pPr>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vAlign w:val="center"/>
          </w:tcPr>
          <w:p w14:paraId="266B0539">
            <w:pPr>
              <w:spacing w:line="240" w:lineRule="exact"/>
              <w:ind w:firstLine="420" w:firstLineChars="200"/>
              <w:jc w:val="both"/>
              <w:rPr>
                <w:rFonts w:hint="default" w:ascii="华文中宋" w:hAnsi="华文中宋" w:eastAsia="华文中宋"/>
                <w:sz w:val="28"/>
                <w:szCs w:val="28"/>
                <w:lang w:val="en-US" w:eastAsia="zh-CN"/>
              </w:rPr>
            </w:pPr>
            <w:r>
              <w:rPr>
                <w:rFonts w:hint="eastAsia" w:eastAsia="方正仿宋_GB2312" w:asciiTheme="minorHAnsi" w:hAnsiTheme="minorHAnsi"/>
                <w:sz w:val="21"/>
                <w:szCs w:val="21"/>
                <w:lang w:val="en-US" w:eastAsia="zh-CN"/>
              </w:rPr>
              <w:t>李想</w:t>
            </w:r>
          </w:p>
        </w:tc>
        <w:tc>
          <w:tcPr>
            <w:tcW w:w="1176" w:type="dxa"/>
            <w:gridSpan w:val="2"/>
            <w:tcBorders>
              <w:tl2br w:val="nil"/>
              <w:tr2bl w:val="nil"/>
            </w:tcBorders>
            <w:vAlign w:val="center"/>
          </w:tcPr>
          <w:p w14:paraId="60ABB25A">
            <w:pPr>
              <w:spacing w:line="34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6625BED9">
            <w:pPr>
              <w:spacing w:line="240" w:lineRule="exact"/>
              <w:jc w:val="center"/>
              <w:rPr>
                <w:rFonts w:hint="default" w:ascii="华文中宋" w:hAnsi="华文中宋" w:eastAsia="方正仿宋_GB2312"/>
                <w:sz w:val="28"/>
                <w:szCs w:val="28"/>
                <w:lang w:val="en-US" w:eastAsia="zh-CN"/>
              </w:rPr>
            </w:pPr>
            <w:r>
              <w:rPr>
                <w:rFonts w:hint="eastAsia"/>
                <w:sz w:val="21"/>
                <w:szCs w:val="21"/>
              </w:rPr>
              <w:t>中国日报社</w:t>
            </w:r>
            <w:r>
              <w:rPr>
                <w:rFonts w:hint="eastAsia"/>
                <w:sz w:val="21"/>
                <w:szCs w:val="21"/>
              </w:rPr>
              <w:br w:type="textWrapping"/>
            </w:r>
            <w:r>
              <w:rPr>
                <w:rFonts w:hint="eastAsia"/>
                <w:sz w:val="21"/>
                <w:szCs w:val="21"/>
                <w:lang w:val="en-US" w:eastAsia="zh-CN"/>
              </w:rPr>
              <w:t>高级记者</w:t>
            </w:r>
          </w:p>
        </w:tc>
        <w:tc>
          <w:tcPr>
            <w:tcW w:w="874" w:type="dxa"/>
            <w:gridSpan w:val="2"/>
            <w:tcBorders>
              <w:tl2br w:val="nil"/>
              <w:tr2bl w:val="nil"/>
            </w:tcBorders>
            <w:vAlign w:val="center"/>
          </w:tcPr>
          <w:p w14:paraId="323485C6">
            <w:pPr>
              <w:spacing w:line="34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vAlign w:val="center"/>
          </w:tcPr>
          <w:p w14:paraId="1B951CC4">
            <w:pPr>
              <w:spacing w:line="240" w:lineRule="exact"/>
              <w:ind w:firstLine="398" w:firstLineChars="200"/>
              <w:rPr>
                <w:rFonts w:ascii="华文中宋" w:hAnsi="华文中宋" w:eastAsia="华文中宋"/>
                <w:sz w:val="28"/>
                <w:szCs w:val="28"/>
              </w:rPr>
            </w:pPr>
            <w:r>
              <w:rPr>
                <w:rFonts w:hint="eastAsia" w:ascii="仿宋" w:hAnsi="仿宋" w:eastAsia="仿宋"/>
                <w:color w:val="000000"/>
                <w:w w:val="95"/>
                <w:sz w:val="21"/>
                <w:szCs w:val="21"/>
                <w:lang w:val="en-US" w:eastAsia="zh-CN"/>
              </w:rPr>
              <w:t>1</w:t>
            </w:r>
            <w:r>
              <w:rPr>
                <w:rFonts w:hint="eastAsia" w:ascii="仿宋" w:hAnsi="仿宋" w:eastAsia="仿宋"/>
                <w:color w:val="000000"/>
                <w:w w:val="95"/>
                <w:sz w:val="21"/>
                <w:szCs w:val="21"/>
              </w:rPr>
              <w:t>5001055987</w:t>
            </w:r>
          </w:p>
        </w:tc>
      </w:tr>
      <w:tr w14:paraId="2081B9FE">
        <w:trPr>
          <w:trHeight w:val="710" w:hRule="atLeast"/>
          <w:jc w:val="center"/>
        </w:trPr>
        <w:tc>
          <w:tcPr>
            <w:tcW w:w="1240" w:type="dxa"/>
            <w:gridSpan w:val="2"/>
            <w:vMerge w:val="continue"/>
            <w:tcBorders>
              <w:tl2br w:val="nil"/>
              <w:tr2bl w:val="nil"/>
            </w:tcBorders>
            <w:vAlign w:val="center"/>
          </w:tcPr>
          <w:p w14:paraId="3677B7BD">
            <w:pPr>
              <w:autoSpaceDE w:val="0"/>
              <w:autoSpaceDN w:val="0"/>
              <w:adjustRightInd w:val="0"/>
              <w:spacing w:line="240" w:lineRule="exact"/>
            </w:pPr>
          </w:p>
        </w:tc>
        <w:tc>
          <w:tcPr>
            <w:tcW w:w="893" w:type="dxa"/>
            <w:gridSpan w:val="3"/>
            <w:tcBorders>
              <w:tl2br w:val="nil"/>
              <w:tr2bl w:val="nil"/>
            </w:tcBorders>
            <w:vAlign w:val="center"/>
          </w:tcPr>
          <w:p w14:paraId="4B1CE680">
            <w:pPr>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vAlign w:val="center"/>
          </w:tcPr>
          <w:p w14:paraId="0A1195DA">
            <w:pPr>
              <w:spacing w:line="340" w:lineRule="exact"/>
              <w:ind w:firstLine="420" w:firstLineChars="200"/>
              <w:jc w:val="both"/>
              <w:rPr>
                <w:rFonts w:hint="default" w:eastAsia="方正仿宋_GB2312"/>
                <w:lang w:val="en-US" w:eastAsia="zh-CN"/>
              </w:rPr>
            </w:pPr>
            <w:r>
              <w:rPr>
                <w:rFonts w:hint="eastAsia" w:eastAsia="方正仿宋_GB2312" w:asciiTheme="minorHAnsi" w:hAnsiTheme="minorHAnsi"/>
                <w:sz w:val="21"/>
                <w:szCs w:val="21"/>
                <w:lang w:val="en-US" w:eastAsia="zh-CN"/>
              </w:rPr>
              <w:t>胡园园</w:t>
            </w:r>
          </w:p>
        </w:tc>
        <w:tc>
          <w:tcPr>
            <w:tcW w:w="1176" w:type="dxa"/>
            <w:gridSpan w:val="2"/>
            <w:tcBorders>
              <w:tl2br w:val="nil"/>
              <w:tr2bl w:val="nil"/>
            </w:tcBorders>
            <w:vAlign w:val="center"/>
          </w:tcPr>
          <w:p w14:paraId="1B58D0EB">
            <w:pPr>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4D7FF96F">
            <w:pPr>
              <w:spacing w:line="340" w:lineRule="exact"/>
              <w:jc w:val="center"/>
              <w:rPr>
                <w:rFonts w:hint="eastAsia" w:eastAsia="方正仿宋_GB2312"/>
                <w:lang w:val="en-US" w:eastAsia="zh-CN"/>
              </w:rPr>
            </w:pPr>
            <w:r>
              <w:rPr>
                <w:rFonts w:hint="eastAsia"/>
                <w:sz w:val="21"/>
                <w:szCs w:val="21"/>
              </w:rPr>
              <w:t xml:space="preserve">中国日报社 </w:t>
            </w:r>
            <w:r>
              <w:rPr>
                <w:rFonts w:hint="eastAsia"/>
                <w:sz w:val="21"/>
                <w:szCs w:val="21"/>
              </w:rPr>
              <w:br w:type="textWrapping"/>
            </w:r>
            <w:r>
              <w:rPr>
                <w:rFonts w:hint="eastAsia"/>
                <w:sz w:val="21"/>
                <w:szCs w:val="21"/>
              </w:rPr>
              <w:t>高级</w:t>
            </w:r>
            <w:r>
              <w:rPr>
                <w:rFonts w:hint="eastAsia"/>
                <w:sz w:val="21"/>
                <w:szCs w:val="21"/>
                <w:lang w:val="en-US" w:eastAsia="zh-CN"/>
              </w:rPr>
              <w:t>记者</w:t>
            </w:r>
          </w:p>
        </w:tc>
        <w:tc>
          <w:tcPr>
            <w:tcW w:w="874" w:type="dxa"/>
            <w:gridSpan w:val="2"/>
            <w:tcBorders>
              <w:tl2br w:val="nil"/>
              <w:tr2bl w:val="nil"/>
            </w:tcBorders>
            <w:vAlign w:val="center"/>
          </w:tcPr>
          <w:p w14:paraId="18321AF8">
            <w:pPr>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vAlign w:val="center"/>
          </w:tcPr>
          <w:p w14:paraId="04D275D1">
            <w:pPr>
              <w:spacing w:line="240" w:lineRule="exact"/>
              <w:ind w:firstLine="398" w:firstLineChars="200"/>
              <w:rPr>
                <w:rFonts w:ascii="华文中宋" w:hAnsi="华文中宋" w:eastAsia="华文中宋"/>
                <w:sz w:val="28"/>
                <w:szCs w:val="28"/>
              </w:rPr>
            </w:pPr>
            <w:r>
              <w:rPr>
                <w:rFonts w:hint="eastAsia" w:ascii="仿宋" w:hAnsi="仿宋" w:eastAsia="仿宋"/>
                <w:color w:val="000000"/>
                <w:w w:val="95"/>
                <w:sz w:val="21"/>
                <w:szCs w:val="21"/>
              </w:rPr>
              <w:t>13146665620</w:t>
            </w:r>
          </w:p>
        </w:tc>
      </w:tr>
      <w:tr w14:paraId="3246080C">
        <w:trPr>
          <w:trHeight w:val="737" w:hRule="exact"/>
          <w:jc w:val="center"/>
        </w:trPr>
        <w:tc>
          <w:tcPr>
            <w:tcW w:w="2133" w:type="dxa"/>
            <w:gridSpan w:val="5"/>
            <w:tcBorders>
              <w:tl2br w:val="nil"/>
              <w:tr2bl w:val="nil"/>
            </w:tcBorders>
            <w:vAlign w:val="center"/>
          </w:tcPr>
          <w:p w14:paraId="1FEC591E">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自荐人</w:t>
            </w:r>
          </w:p>
          <w:p w14:paraId="71AE061D">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32646BCC">
            <w:pPr>
              <w:spacing w:line="340" w:lineRule="exact"/>
              <w:jc w:val="center"/>
              <w:rPr>
                <w:rFonts w:ascii="华文中宋" w:hAnsi="华文中宋" w:eastAsia="华文中宋"/>
                <w:color w:val="000000"/>
                <w:sz w:val="28"/>
              </w:rPr>
            </w:pPr>
            <w:r>
              <w:rPr>
                <w:rFonts w:hint="eastAsia" w:ascii="仿宋" w:hAnsi="仿宋" w:eastAsia="仿宋"/>
                <w:color w:val="000000"/>
                <w:w w:val="95"/>
                <w:sz w:val="21"/>
                <w:szCs w:val="21"/>
              </w:rPr>
              <w:t>马思</w:t>
            </w:r>
          </w:p>
        </w:tc>
        <w:tc>
          <w:tcPr>
            <w:tcW w:w="1176" w:type="dxa"/>
            <w:gridSpan w:val="2"/>
            <w:tcBorders>
              <w:tl2br w:val="nil"/>
              <w:tr2bl w:val="nil"/>
            </w:tcBorders>
            <w:vAlign w:val="center"/>
          </w:tcPr>
          <w:p w14:paraId="312859ED">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00191A12">
            <w:pPr>
              <w:spacing w:line="340" w:lineRule="exact"/>
              <w:jc w:val="center"/>
              <w:rPr>
                <w:rFonts w:ascii="华文中宋" w:hAnsi="华文中宋" w:eastAsia="华文中宋"/>
                <w:color w:val="000000"/>
                <w:sz w:val="28"/>
              </w:rPr>
            </w:pPr>
            <w:r>
              <w:rPr>
                <w:rFonts w:hint="eastAsia" w:ascii="仿宋" w:hAnsi="仿宋" w:eastAsia="仿宋"/>
                <w:color w:val="000000"/>
                <w:w w:val="95"/>
                <w:sz w:val="21"/>
                <w:szCs w:val="21"/>
              </w:rPr>
              <w:t>18811707461</w:t>
            </w:r>
          </w:p>
        </w:tc>
        <w:tc>
          <w:tcPr>
            <w:tcW w:w="874" w:type="dxa"/>
            <w:gridSpan w:val="2"/>
            <w:tcBorders>
              <w:tl2br w:val="nil"/>
              <w:tr2bl w:val="nil"/>
            </w:tcBorders>
            <w:vAlign w:val="center"/>
          </w:tcPr>
          <w:p w14:paraId="46D8D166">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1E2E6D5E">
            <w:pPr>
              <w:spacing w:line="340" w:lineRule="exact"/>
              <w:jc w:val="center"/>
              <w:rPr>
                <w:rFonts w:ascii="华文中宋" w:hAnsi="华文中宋" w:eastAsia="华文中宋"/>
                <w:color w:val="000000"/>
                <w:sz w:val="28"/>
              </w:rPr>
            </w:pPr>
            <w:r>
              <w:rPr>
                <w:rFonts w:hint="eastAsia" w:ascii="仿宋" w:hAnsi="仿宋" w:eastAsia="仿宋"/>
                <w:color w:val="000000"/>
                <w:w w:val="95"/>
                <w:sz w:val="21"/>
                <w:szCs w:val="21"/>
              </w:rPr>
              <w:t>010-64995417</w:t>
            </w:r>
          </w:p>
        </w:tc>
      </w:tr>
      <w:tr w14:paraId="0C90298A">
        <w:trPr>
          <w:trHeight w:val="3946" w:hRule="exact"/>
          <w:jc w:val="center"/>
        </w:trPr>
        <w:tc>
          <w:tcPr>
            <w:tcW w:w="1647" w:type="dxa"/>
            <w:gridSpan w:val="4"/>
            <w:tcBorders>
              <w:tl2br w:val="nil"/>
              <w:tr2bl w:val="nil"/>
            </w:tcBorders>
            <w:vAlign w:val="center"/>
          </w:tcPr>
          <w:p w14:paraId="29FEC78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审核</w:t>
            </w:r>
          </w:p>
          <w:p w14:paraId="7D39A1BE">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p w14:paraId="0F601F3E">
            <w:pPr>
              <w:spacing w:line="38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意见</w:t>
            </w:r>
          </w:p>
        </w:tc>
        <w:tc>
          <w:tcPr>
            <w:tcW w:w="8166" w:type="dxa"/>
            <w:gridSpan w:val="13"/>
            <w:tcBorders>
              <w:tl2br w:val="nil"/>
              <w:tr2bl w:val="nil"/>
            </w:tcBorders>
            <w:vAlign w:val="center"/>
          </w:tcPr>
          <w:p w14:paraId="1271F173">
            <w:pPr>
              <w:spacing w:line="240" w:lineRule="exact"/>
              <w:rPr>
                <w:rFonts w:ascii="仿宋" w:hAnsi="仿宋" w:eastAsia="仿宋"/>
                <w:b/>
                <w:color w:val="000000"/>
                <w:szCs w:val="21"/>
              </w:rPr>
            </w:pPr>
          </w:p>
          <w:p w14:paraId="2ECEBAEA">
            <w:pPr>
              <w:spacing w:line="240" w:lineRule="exact"/>
              <w:rPr>
                <w:rFonts w:ascii="仿宋" w:hAnsi="仿宋" w:eastAsia="仿宋"/>
                <w:b/>
                <w:color w:val="000000"/>
                <w:szCs w:val="21"/>
              </w:rPr>
            </w:pPr>
          </w:p>
          <w:p w14:paraId="6A98B83E">
            <w:pPr>
              <w:ind w:firstLine="422"/>
              <w:rPr>
                <w:rFonts w:ascii="仿宋" w:hAnsi="仿宋" w:eastAsia="仿宋" w:cs="仿宋"/>
                <w:color w:val="000000"/>
                <w:sz w:val="24"/>
                <w:szCs w:val="18"/>
              </w:rPr>
            </w:pPr>
            <w:r>
              <w:rPr>
                <w:rFonts w:hint="eastAsia" w:ascii="仿宋" w:hAnsi="仿宋" w:eastAsia="仿宋" w:cs="仿宋"/>
                <w:color w:val="000000"/>
                <w:sz w:val="24"/>
                <w:szCs w:val="18"/>
              </w:rPr>
              <w:t>同意推荐。</w:t>
            </w:r>
          </w:p>
          <w:p w14:paraId="530826D3">
            <w:pPr>
              <w:ind w:firstLine="422"/>
              <w:rPr>
                <w:rFonts w:ascii="仿宋" w:hAnsi="仿宋" w:eastAsia="仿宋" w:cs="仿宋"/>
                <w:color w:val="000000"/>
                <w:sz w:val="24"/>
                <w:szCs w:val="18"/>
              </w:rPr>
            </w:pPr>
          </w:p>
          <w:p w14:paraId="348E022A">
            <w:pPr>
              <w:ind w:firstLine="3600" w:firstLineChars="1500"/>
              <w:rPr>
                <w:rFonts w:ascii="仿宋" w:hAnsi="仿宋" w:eastAsia="仿宋" w:cs="仿宋"/>
                <w:color w:val="000000"/>
                <w:sz w:val="24"/>
                <w:szCs w:val="18"/>
              </w:rPr>
            </w:pPr>
            <w:r>
              <w:rPr>
                <w:rFonts w:hint="eastAsia" w:ascii="仿宋" w:hAnsi="仿宋" w:eastAsia="仿宋" w:cs="仿宋"/>
                <w:color w:val="000000"/>
                <w:sz w:val="24"/>
                <w:szCs w:val="18"/>
              </w:rPr>
              <w:t>（加盖单位公章）</w:t>
            </w:r>
          </w:p>
          <w:p w14:paraId="50517EE4">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5A57C4D4"/>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2312">
    <w:altName w:val="方正仿宋_GBK"/>
    <w:panose1 w:val="00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方正小标宋简体">
    <w:altName w:val="汉仪书宋二KW"/>
    <w:panose1 w:val="02000000000000000000"/>
    <w:charset w:val="86"/>
    <w:family w:val="auto"/>
    <w:pitch w:val="default"/>
    <w:sig w:usb0="00000000" w:usb1="00000000" w:usb2="00000012" w:usb3="00000000" w:csb0="00040001" w:csb1="00000000"/>
  </w:font>
  <w:font w:name="华文中宋">
    <w:altName w:val="汉仪书宋二KW"/>
    <w:panose1 w:val="02010600040101010101"/>
    <w:charset w:val="86"/>
    <w:family w:val="auto"/>
    <w:pitch w:val="default"/>
    <w:sig w:usb0="00000000" w:usb1="0000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38347">
    <w:pPr>
      <w:pStyle w:val="3"/>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B10"/>
    <w:rsid w:val="00081445"/>
    <w:rsid w:val="000E05EB"/>
    <w:rsid w:val="001C68AB"/>
    <w:rsid w:val="002A3B10"/>
    <w:rsid w:val="00F93C0C"/>
    <w:rsid w:val="023F67C1"/>
    <w:rsid w:val="103E4A53"/>
    <w:rsid w:val="1D9B145D"/>
    <w:rsid w:val="1FEDD732"/>
    <w:rsid w:val="291819B2"/>
    <w:rsid w:val="30560440"/>
    <w:rsid w:val="33363900"/>
    <w:rsid w:val="37495CDB"/>
    <w:rsid w:val="37FEEE36"/>
    <w:rsid w:val="3DFE3F08"/>
    <w:rsid w:val="3F8D43AD"/>
    <w:rsid w:val="42317DE4"/>
    <w:rsid w:val="4CA94913"/>
    <w:rsid w:val="54DE0B48"/>
    <w:rsid w:val="5BFF2C67"/>
    <w:rsid w:val="5D250E1A"/>
    <w:rsid w:val="5DFF317E"/>
    <w:rsid w:val="70CD2B43"/>
    <w:rsid w:val="72BFF132"/>
    <w:rsid w:val="72FD4523"/>
    <w:rsid w:val="733F79E3"/>
    <w:rsid w:val="73F26870"/>
    <w:rsid w:val="79AB53E5"/>
    <w:rsid w:val="7EF5BD49"/>
    <w:rsid w:val="7EF776D8"/>
    <w:rsid w:val="7FDF4DF1"/>
    <w:rsid w:val="7FFCC209"/>
    <w:rsid w:val="7FFE9F35"/>
    <w:rsid w:val="87974078"/>
    <w:rsid w:val="9BF165AA"/>
    <w:rsid w:val="AA740377"/>
    <w:rsid w:val="AFCBAAA6"/>
    <w:rsid w:val="B8BED0A0"/>
    <w:rsid w:val="BB89FE00"/>
    <w:rsid w:val="D59FBD2F"/>
    <w:rsid w:val="D76E40A4"/>
    <w:rsid w:val="DE3FE9D5"/>
    <w:rsid w:val="F5F3F692"/>
    <w:rsid w:val="F79DBD2C"/>
    <w:rsid w:val="F7F34351"/>
    <w:rsid w:val="FD3F621F"/>
    <w:rsid w:val="FD7A89A1"/>
    <w:rsid w:val="FEBB8052"/>
    <w:rsid w:val="FFEFC2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ody Text 3"/>
    <w:basedOn w:val="1"/>
    <w:unhideWhenUsed/>
    <w:qFormat/>
    <w:uiPriority w:val="99"/>
    <w:pPr>
      <w:spacing w:after="120"/>
    </w:pPr>
    <w:rPr>
      <w:sz w:val="16"/>
      <w:szCs w:val="16"/>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26E5" w:themeColor="hyperlink"/>
      <w:u w:val="single"/>
      <w14:textFill>
        <w14:solidFill>
          <w14:schemeClr w14:val="hlink"/>
        </w14:solidFill>
      </w14:textFill>
    </w:rPr>
  </w:style>
  <w:style w:type="paragraph" w:customStyle="1" w:styleId="8">
    <w:name w:val="Revision"/>
    <w:hidden/>
    <w:unhideWhenUsed/>
    <w:qFormat/>
    <w:uiPriority w:val="99"/>
    <w:rPr>
      <w:rFonts w:eastAsia="方正仿宋_GB2312" w:asciiTheme="minorHAnsi" w:hAnsiTheme="minorHAnsi" w:cstheme="minorBidi"/>
      <w:kern w:val="2"/>
      <w:sz w:val="32"/>
      <w:szCs w:val="22"/>
      <w:lang w:val="en-US" w:eastAsia="zh-CN" w:bidi="ar-SA"/>
    </w:rPr>
  </w:style>
  <w:style w:type="character" w:customStyle="1" w:styleId="9">
    <w:name w:val="Unresolved Mention"/>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906</Words>
  <Characters>1106</Characters>
  <Lines>122</Lines>
  <Paragraphs>143</Paragraphs>
  <TotalTime>2</TotalTime>
  <ScaleCrop>false</ScaleCrop>
  <LinksUpToDate>false</LinksUpToDate>
  <CharactersWithSpaces>1869</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2026-04-30T23:01:00Z</dcterms:created>
  <dc:creator>EDY</dc:creator>
  <cp:lastModifiedBy>微信用户</cp:lastModifiedBy>
  <dcterms:modified xsi:type="dcterms:W3CDTF">2026-05-08T19:24:20Z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EDEAEEEDF393DB0519C7FD6982DC70A7_43</vt:lpwstr>
  </property>
</Properties>
</file>